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98AE" w14:textId="77777777" w:rsidR="00427F85" w:rsidRDefault="00427F85" w:rsidP="00427F85">
      <w:pPr>
        <w:spacing w:after="160" w:line="259" w:lineRule="auto"/>
        <w:rPr>
          <w:rFonts w:asciiTheme="minorHAnsi" w:hAnsiTheme="minorHAnsi"/>
          <w:b/>
          <w:sz w:val="32"/>
          <w:szCs w:val="32"/>
        </w:rPr>
      </w:pPr>
      <w:r>
        <w:rPr>
          <w:rFonts w:asciiTheme="minorHAnsi" w:hAnsiTheme="minorHAnsi"/>
          <w:b/>
          <w:sz w:val="32"/>
          <w:szCs w:val="32"/>
        </w:rPr>
        <w:t xml:space="preserve">Übersicht: </w:t>
      </w:r>
      <w:r w:rsidRPr="00427F85">
        <w:rPr>
          <w:rFonts w:asciiTheme="minorHAnsi" w:hAnsiTheme="minorHAnsi"/>
          <w:b/>
          <w:sz w:val="32"/>
          <w:szCs w:val="32"/>
        </w:rPr>
        <w:t>Mit diesen kurzfristigen Maßnahmen können Sie</w:t>
      </w:r>
      <w:r>
        <w:rPr>
          <w:rFonts w:asciiTheme="minorHAnsi" w:hAnsiTheme="minorHAnsi"/>
          <w:b/>
          <w:sz w:val="32"/>
          <w:szCs w:val="32"/>
        </w:rPr>
        <w:t xml:space="preserve"> </w:t>
      </w:r>
      <w:r w:rsidRPr="00427F85">
        <w:rPr>
          <w:rFonts w:asciiTheme="minorHAnsi" w:hAnsiTheme="minorHAnsi"/>
          <w:b/>
          <w:sz w:val="32"/>
          <w:szCs w:val="32"/>
        </w:rPr>
        <w:t>die Rutschsicherheit steigern</w:t>
      </w:r>
    </w:p>
    <w:tbl>
      <w:tblPr>
        <w:tblStyle w:val="Tabellenraster11"/>
        <w:tblW w:w="0" w:type="auto"/>
        <w:tblLook w:val="04A0" w:firstRow="1" w:lastRow="0" w:firstColumn="1" w:lastColumn="0" w:noHBand="0" w:noVBand="1"/>
      </w:tblPr>
      <w:tblGrid>
        <w:gridCol w:w="1995"/>
        <w:gridCol w:w="7067"/>
      </w:tblGrid>
      <w:tr w:rsidR="006F21DD" w:rsidRPr="003A1AC5" w14:paraId="7C4E8A06" w14:textId="77777777" w:rsidTr="006F21DD">
        <w:trPr>
          <w:trHeight w:val="411"/>
        </w:trPr>
        <w:tc>
          <w:tcPr>
            <w:tcW w:w="1995" w:type="dxa"/>
            <w:shd w:val="clear" w:color="auto" w:fill="F7CAAC" w:themeFill="accent2" w:themeFillTint="66"/>
          </w:tcPr>
          <w:p w14:paraId="63A8F88A" w14:textId="77777777" w:rsidR="006F21DD" w:rsidRPr="003A1AC5" w:rsidRDefault="006F21DD" w:rsidP="006E4C40">
            <w:pPr>
              <w:rPr>
                <w:b/>
                <w:i/>
              </w:rPr>
            </w:pPr>
            <w:r w:rsidRPr="003A1AC5">
              <w:rPr>
                <w:b/>
                <w:i/>
              </w:rPr>
              <w:t>Maßnahme</w:t>
            </w:r>
          </w:p>
        </w:tc>
        <w:tc>
          <w:tcPr>
            <w:tcW w:w="7067" w:type="dxa"/>
            <w:shd w:val="clear" w:color="auto" w:fill="F7CAAC" w:themeFill="accent2" w:themeFillTint="66"/>
          </w:tcPr>
          <w:p w14:paraId="6453C236" w14:textId="77777777" w:rsidR="006F21DD" w:rsidRPr="003A1AC5" w:rsidRDefault="006F21DD" w:rsidP="006E4C40">
            <w:pPr>
              <w:rPr>
                <w:b/>
                <w:i/>
              </w:rPr>
            </w:pPr>
            <w:r w:rsidRPr="003A1AC5">
              <w:rPr>
                <w:b/>
                <w:i/>
              </w:rPr>
              <w:t>Beschreibung</w:t>
            </w:r>
          </w:p>
        </w:tc>
      </w:tr>
      <w:tr w:rsidR="006F21DD" w:rsidRPr="003A1AC5" w14:paraId="379D0E6C" w14:textId="77777777" w:rsidTr="006F21DD">
        <w:tc>
          <w:tcPr>
            <w:tcW w:w="1995" w:type="dxa"/>
          </w:tcPr>
          <w:p w14:paraId="6C120469" w14:textId="77777777" w:rsidR="006F21DD" w:rsidRPr="003A1AC5" w:rsidRDefault="006F21DD" w:rsidP="006E4C40">
            <w:r w:rsidRPr="003A1AC5">
              <w:t>Rutschhemmende</w:t>
            </w:r>
          </w:p>
          <w:p w14:paraId="0A401048" w14:textId="77777777" w:rsidR="006F21DD" w:rsidRPr="003A1AC5" w:rsidRDefault="006F21DD" w:rsidP="006E4C40">
            <w:r w:rsidRPr="003A1AC5">
              <w:t>Matten auslegen</w:t>
            </w:r>
          </w:p>
        </w:tc>
        <w:tc>
          <w:tcPr>
            <w:tcW w:w="7067" w:type="dxa"/>
          </w:tcPr>
          <w:p w14:paraId="56BD4F6E" w14:textId="77777777" w:rsidR="006F21DD" w:rsidRPr="003A1AC5" w:rsidRDefault="006F21DD" w:rsidP="006E4C40">
            <w:r w:rsidRPr="003A1AC5">
              <w:t xml:space="preserve">Sichern Sie die Matten gegen </w:t>
            </w:r>
            <w:r w:rsidRPr="003A1AC5">
              <w:rPr>
                <w:bCs/>
              </w:rPr>
              <w:t>Wegrutschen</w:t>
            </w:r>
            <w:r w:rsidRPr="003A1AC5">
              <w:t xml:space="preserve">! Außerdem können solche Matten </w:t>
            </w:r>
            <w:r w:rsidRPr="003A1AC5">
              <w:rPr>
                <w:bCs/>
              </w:rPr>
              <w:t xml:space="preserve">hygienische Nachteile </w:t>
            </w:r>
            <w:r w:rsidRPr="003A1AC5">
              <w:t>bringen, z. B. bei der Verarbeitung von Lebensmitteln. Ggf. müssen die Matten dann regelmäßig (z. B. täglich) ausgetauscht und gewaschen werden.</w:t>
            </w:r>
          </w:p>
        </w:tc>
      </w:tr>
      <w:tr w:rsidR="006F21DD" w:rsidRPr="003A1AC5" w14:paraId="2EEA7F98" w14:textId="77777777" w:rsidTr="006F21DD">
        <w:tc>
          <w:tcPr>
            <w:tcW w:w="1995" w:type="dxa"/>
          </w:tcPr>
          <w:p w14:paraId="1F3F0873" w14:textId="77777777" w:rsidR="006F21DD" w:rsidRPr="003A1AC5" w:rsidRDefault="006F21DD" w:rsidP="006E4C40">
            <w:r w:rsidRPr="003A1AC5">
              <w:t>Gleitfördernde</w:t>
            </w:r>
          </w:p>
          <w:p w14:paraId="5033D4A1" w14:textId="77777777" w:rsidR="006F21DD" w:rsidRPr="003A1AC5" w:rsidRDefault="006F21DD" w:rsidP="006E4C40">
            <w:r w:rsidRPr="003A1AC5">
              <w:t>Stoffe eindämmen</w:t>
            </w:r>
          </w:p>
        </w:tc>
        <w:tc>
          <w:tcPr>
            <w:tcW w:w="7067" w:type="dxa"/>
          </w:tcPr>
          <w:p w14:paraId="6F710ECF" w14:textId="77777777" w:rsidR="006F21DD" w:rsidRPr="003A1AC5" w:rsidRDefault="006F21DD" w:rsidP="006E4C40">
            <w:r w:rsidRPr="003A1AC5">
              <w:t xml:space="preserve">Entsteht die Rutschgefahr durch gleitfördernde Stoffe, sollten Sie prüfen, ob es möglich ist, den Auftrag dieser Stoffe auf den Boden zu reduzieren, z. B. durch eine </w:t>
            </w:r>
            <w:r w:rsidRPr="003A1AC5">
              <w:rPr>
                <w:bCs/>
              </w:rPr>
              <w:t>veränderte Arbeitsweise</w:t>
            </w:r>
            <w:r w:rsidRPr="003A1AC5">
              <w:t xml:space="preserve">. Ist dies nicht möglich, lässt sich die Rutschgefahr oft durch </w:t>
            </w:r>
            <w:r w:rsidRPr="003A1AC5">
              <w:rPr>
                <w:bCs/>
              </w:rPr>
              <w:t xml:space="preserve">erhöhte Reinigungsintervalle </w:t>
            </w:r>
            <w:r w:rsidRPr="003A1AC5">
              <w:t>vermindern. Legen Sie die Intervalle fest und sorgen Sie für eine Kontrolle, z. B. durch ein   Reinigungsprotokoll wie auf öffentlichen Toiletten üblich.</w:t>
            </w:r>
          </w:p>
          <w:p w14:paraId="5F5211BC" w14:textId="77777777" w:rsidR="006F21DD" w:rsidRPr="003A1AC5" w:rsidRDefault="006F21DD" w:rsidP="006E4C40"/>
          <w:p w14:paraId="6A7F40EC" w14:textId="77777777" w:rsidR="006F21DD" w:rsidRPr="003A1AC5" w:rsidRDefault="006F21DD" w:rsidP="006E4C40">
            <w:r w:rsidRPr="003A1AC5">
              <w:rPr>
                <w:bCs/>
              </w:rPr>
              <w:t xml:space="preserve">Für Außenbereiche gilt: </w:t>
            </w:r>
            <w:r w:rsidRPr="003A1AC5">
              <w:t>Rutschgefahr durch Regennässe und Schneeglätte lässt sich durch eine Überdachung deutlich reduzieren.</w:t>
            </w:r>
          </w:p>
        </w:tc>
      </w:tr>
      <w:tr w:rsidR="006F21DD" w:rsidRPr="003A1AC5" w14:paraId="0CF61745" w14:textId="77777777" w:rsidTr="006F21DD">
        <w:tc>
          <w:tcPr>
            <w:tcW w:w="1995" w:type="dxa"/>
          </w:tcPr>
          <w:p w14:paraId="752DA63C" w14:textId="77777777" w:rsidR="006F21DD" w:rsidRPr="003A1AC5" w:rsidRDefault="006F21DD" w:rsidP="006E4C40">
            <w:r w:rsidRPr="003A1AC5">
              <w:t>Rutschhemmende</w:t>
            </w:r>
          </w:p>
          <w:p w14:paraId="734F3897" w14:textId="77777777" w:rsidR="006F21DD" w:rsidRPr="003A1AC5" w:rsidRDefault="006F21DD" w:rsidP="006E4C40">
            <w:r w:rsidRPr="003A1AC5">
              <w:t>Schuhe</w:t>
            </w:r>
          </w:p>
        </w:tc>
        <w:tc>
          <w:tcPr>
            <w:tcW w:w="7067" w:type="dxa"/>
          </w:tcPr>
          <w:p w14:paraId="413AEF2B" w14:textId="77777777" w:rsidR="006F21DD" w:rsidRPr="003A1AC5" w:rsidRDefault="006F21DD" w:rsidP="006E4C40">
            <w:r w:rsidRPr="003A1AC5">
              <w:t xml:space="preserve">Wenn nicht ohnehin vorgeschrieben, sollten Sie sich für das Tragen von </w:t>
            </w:r>
            <w:r w:rsidRPr="003A1AC5">
              <w:rPr>
                <w:bCs/>
              </w:rPr>
              <w:t xml:space="preserve">Sicherheitsschuhen </w:t>
            </w:r>
            <w:r w:rsidRPr="003A1AC5">
              <w:t>einsetzen.</w:t>
            </w:r>
          </w:p>
        </w:tc>
      </w:tr>
      <w:tr w:rsidR="006F21DD" w:rsidRPr="003A1AC5" w14:paraId="58A63E77" w14:textId="77777777" w:rsidTr="006F21DD">
        <w:tc>
          <w:tcPr>
            <w:tcW w:w="1995" w:type="dxa"/>
          </w:tcPr>
          <w:p w14:paraId="57E772F4" w14:textId="77777777" w:rsidR="006F21DD" w:rsidRPr="003A1AC5" w:rsidRDefault="006F21DD" w:rsidP="006E4C40">
            <w:r w:rsidRPr="003A1AC5">
              <w:t>Kennzeichnung</w:t>
            </w:r>
          </w:p>
          <w:p w14:paraId="6531E004" w14:textId="77777777" w:rsidR="006F21DD" w:rsidRPr="003A1AC5" w:rsidRDefault="006F21DD" w:rsidP="006E4C40">
            <w:r w:rsidRPr="003A1AC5">
              <w:rPr>
                <w:noProof/>
                <w:lang w:eastAsia="de-DE"/>
              </w:rPr>
              <w:drawing>
                <wp:anchor distT="0" distB="0" distL="114300" distR="114300" simplePos="0" relativeHeight="251659264" behindDoc="1" locked="0" layoutInCell="1" allowOverlap="1" wp14:anchorId="0356038A" wp14:editId="15D27F94">
                  <wp:simplePos x="0" y="0"/>
                  <wp:positionH relativeFrom="column">
                    <wp:posOffset>-48260</wp:posOffset>
                  </wp:positionH>
                  <wp:positionV relativeFrom="paragraph">
                    <wp:posOffset>340995</wp:posOffset>
                  </wp:positionV>
                  <wp:extent cx="1098550" cy="1073150"/>
                  <wp:effectExtent l="0" t="0" r="6350" b="0"/>
                  <wp:wrapTight wrapText="bothSides">
                    <wp:wrapPolygon edited="0">
                      <wp:start x="0" y="0"/>
                      <wp:lineTo x="0" y="21089"/>
                      <wp:lineTo x="21350" y="21089"/>
                      <wp:lineTo x="2135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98550" cy="1073150"/>
                          </a:xfrm>
                          <a:prstGeom prst="rect">
                            <a:avLst/>
                          </a:prstGeom>
                        </pic:spPr>
                      </pic:pic>
                    </a:graphicData>
                  </a:graphic>
                  <wp14:sizeRelH relativeFrom="page">
                    <wp14:pctWidth>0</wp14:pctWidth>
                  </wp14:sizeRelH>
                  <wp14:sizeRelV relativeFrom="page">
                    <wp14:pctHeight>0</wp14:pctHeight>
                  </wp14:sizeRelV>
                </wp:anchor>
              </w:drawing>
            </w:r>
            <w:r w:rsidRPr="003A1AC5">
              <w:t>oder Sperrung</w:t>
            </w:r>
          </w:p>
          <w:p w14:paraId="456BF070" w14:textId="77777777" w:rsidR="006F21DD" w:rsidRPr="003A1AC5" w:rsidRDefault="006F21DD" w:rsidP="006E4C40"/>
        </w:tc>
        <w:tc>
          <w:tcPr>
            <w:tcW w:w="7067" w:type="dxa"/>
          </w:tcPr>
          <w:p w14:paraId="58F3E39C" w14:textId="77777777" w:rsidR="006F21DD" w:rsidRPr="003A1AC5" w:rsidRDefault="006F21DD" w:rsidP="006E4C40">
            <w:r w:rsidRPr="003A1AC5">
              <w:t xml:space="preserve">Bereiche, in denen eine </w:t>
            </w:r>
            <w:r w:rsidRPr="003A1AC5">
              <w:rPr>
                <w:bCs/>
              </w:rPr>
              <w:t xml:space="preserve">deutlich erhöhte </w:t>
            </w:r>
            <w:r w:rsidRPr="003A1AC5">
              <w:t xml:space="preserve">Rutschgefahr (μ &lt; 0,30) besteht und die sich weder kurzfristig noch durch Umbauten entschärfen lassen, sollten Sie sperren. Ist dies nicht möglich, müssen Sie für eine entsprechende Kennzeichnung sorgen – mit dem entsprechenden </w:t>
            </w:r>
            <w:r w:rsidRPr="003A1AC5">
              <w:rPr>
                <w:bCs/>
              </w:rPr>
              <w:t>Warnzeichen</w:t>
            </w:r>
            <w:r w:rsidRPr="003A1AC5">
              <w:t>.</w:t>
            </w:r>
          </w:p>
          <w:p w14:paraId="1F6FB93B" w14:textId="77777777" w:rsidR="006F21DD" w:rsidRPr="003A1AC5" w:rsidRDefault="006F21DD" w:rsidP="006E4C40"/>
          <w:p w14:paraId="1C21D2F2" w14:textId="77777777" w:rsidR="006F21DD" w:rsidRPr="003A1AC5" w:rsidRDefault="006F21DD" w:rsidP="006E4C40">
            <w:r w:rsidRPr="003A1AC5">
              <w:t xml:space="preserve">Dabei gilt: Das Warnzeichen muss so angebracht sein, dass man es nicht übersehen kann. Ggf. sind entsprechende Hütchen sinnvoll, die auf dem Boden </w:t>
            </w:r>
            <w:proofErr w:type="gramStart"/>
            <w:r w:rsidRPr="003A1AC5">
              <w:t>stehen..</w:t>
            </w:r>
            <w:proofErr w:type="gramEnd"/>
          </w:p>
        </w:tc>
      </w:tr>
    </w:tbl>
    <w:p w14:paraId="7CB7500A" w14:textId="77777777" w:rsidR="00EA48D4" w:rsidRDefault="00EA48D4" w:rsidP="00EA48D4">
      <w:pPr>
        <w:spacing w:after="160" w:line="259" w:lineRule="auto"/>
      </w:pPr>
      <w:r w:rsidRPr="00EA48D4">
        <w:rPr>
          <w:rFonts w:asciiTheme="minorHAnsi" w:hAnsiTheme="minorHAnsi" w:cs="DGUV Meta"/>
          <w:bCs/>
          <w:i/>
          <w:sz w:val="18"/>
          <w:szCs w:val="20"/>
        </w:rPr>
        <w:t>Quelle: DGUV</w:t>
      </w:r>
    </w:p>
    <w:p w14:paraId="1F8696A8" w14:textId="77777777" w:rsidR="00022894" w:rsidRDefault="00022894">
      <w:r>
        <w:br w:type="page"/>
      </w:r>
    </w:p>
    <w:p w14:paraId="094E6AC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2063DDB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23C910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5894056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19FBD5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282FC804"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4C18FC4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592D37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CC71B0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64A83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995590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185841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2832D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332C0C4" w14:textId="77777777" w:rsidR="00E158B4" w:rsidRDefault="00E158B4" w:rsidP="00E158B4">
      <w:pPr>
        <w:shd w:val="clear" w:color="auto" w:fill="FFFFFF"/>
        <w:rPr>
          <w:rFonts w:ascii="Arial" w:eastAsia="Times New Roman" w:hAnsi="Arial" w:cs="Arial"/>
          <w:b/>
          <w:bCs/>
          <w:color w:val="313131"/>
          <w:lang w:eastAsia="de-DE"/>
        </w:rPr>
      </w:pPr>
    </w:p>
    <w:p w14:paraId="6D19D93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3AE43A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F656A0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0A26A8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1DCEBBF"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9" w:history="1">
        <w:r w:rsidRPr="00623F23">
          <w:rPr>
            <w:rStyle w:val="Hyperlink"/>
            <w:rFonts w:ascii="Arial" w:eastAsia="Times New Roman" w:hAnsi="Arial" w:cs="Arial"/>
            <w:lang w:eastAsia="de-DE"/>
          </w:rPr>
          <w:t>kundenservice@praxispurmedien.de</w:t>
        </w:r>
      </w:hyperlink>
    </w:p>
    <w:p w14:paraId="534CD527" w14:textId="77777777" w:rsidR="00E158B4" w:rsidRDefault="00E158B4" w:rsidP="00E158B4">
      <w:pPr>
        <w:shd w:val="clear" w:color="auto" w:fill="FFFFFF"/>
        <w:rPr>
          <w:rFonts w:ascii="Arial" w:eastAsia="Times New Roman" w:hAnsi="Arial" w:cs="Arial"/>
          <w:color w:val="313131"/>
          <w:lang w:eastAsia="de-DE"/>
        </w:rPr>
      </w:pPr>
    </w:p>
    <w:p w14:paraId="459A200B" w14:textId="77777777" w:rsidR="00E158B4" w:rsidRPr="00623F23" w:rsidRDefault="00E158B4" w:rsidP="00E158B4">
      <w:pPr>
        <w:shd w:val="clear" w:color="auto" w:fill="FFFFFF"/>
        <w:rPr>
          <w:rFonts w:ascii="Arial" w:eastAsia="Times New Roman" w:hAnsi="Arial" w:cs="Arial"/>
          <w:color w:val="313131"/>
          <w:lang w:eastAsia="de-DE"/>
        </w:rPr>
      </w:pPr>
    </w:p>
    <w:p w14:paraId="44CC2EE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E731A">
        <w:rPr>
          <w:rFonts w:ascii="Arial" w:eastAsia="Times New Roman" w:hAnsi="Arial" w:cs="Arial"/>
          <w:color w:val="868686"/>
          <w:sz w:val="13"/>
          <w:szCs w:val="13"/>
          <w:lang w:eastAsia="de-DE"/>
        </w:rPr>
        <w:t>30</w:t>
      </w:r>
      <w:r w:rsidR="00D51C88">
        <w:rPr>
          <w:rFonts w:ascii="Arial" w:eastAsia="Times New Roman" w:hAnsi="Arial" w:cs="Arial"/>
          <w:color w:val="868686"/>
          <w:sz w:val="13"/>
          <w:szCs w:val="13"/>
          <w:lang w:eastAsia="de-DE"/>
        </w:rPr>
        <w:t>/21</w:t>
      </w:r>
    </w:p>
    <w:p w14:paraId="682FEC6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18DADEC"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E48D" w14:textId="77777777" w:rsidR="00804E2C" w:rsidRDefault="00804E2C" w:rsidP="00E158B4">
      <w:r>
        <w:separator/>
      </w:r>
    </w:p>
  </w:endnote>
  <w:endnote w:type="continuationSeparator" w:id="0">
    <w:p w14:paraId="7DB84433" w14:textId="77777777" w:rsidR="00804E2C" w:rsidRDefault="00804E2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GUV Meta">
    <w:altName w:val="DGUV Met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23B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E5BC07A"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30F3ED8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4681" w14:textId="77777777" w:rsidR="00804E2C" w:rsidRDefault="00804E2C" w:rsidP="00E158B4">
      <w:r>
        <w:separator/>
      </w:r>
    </w:p>
  </w:footnote>
  <w:footnote w:type="continuationSeparator" w:id="0">
    <w:p w14:paraId="54622411" w14:textId="77777777" w:rsidR="00804E2C" w:rsidRDefault="00804E2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B57EC"/>
    <w:rsid w:val="003E1165"/>
    <w:rsid w:val="00427F85"/>
    <w:rsid w:val="004426F8"/>
    <w:rsid w:val="004B52EB"/>
    <w:rsid w:val="004E5227"/>
    <w:rsid w:val="00596D10"/>
    <w:rsid w:val="005A23A6"/>
    <w:rsid w:val="005C1842"/>
    <w:rsid w:val="005C42D1"/>
    <w:rsid w:val="005C4C50"/>
    <w:rsid w:val="005E05B4"/>
    <w:rsid w:val="00620B3E"/>
    <w:rsid w:val="006844EB"/>
    <w:rsid w:val="006A1283"/>
    <w:rsid w:val="006D77AC"/>
    <w:rsid w:val="006F21DD"/>
    <w:rsid w:val="006F7FBC"/>
    <w:rsid w:val="007225E0"/>
    <w:rsid w:val="00727E78"/>
    <w:rsid w:val="00770B26"/>
    <w:rsid w:val="007A0BE3"/>
    <w:rsid w:val="007A2CD6"/>
    <w:rsid w:val="007A3679"/>
    <w:rsid w:val="007C7C53"/>
    <w:rsid w:val="007E58DE"/>
    <w:rsid w:val="008033F4"/>
    <w:rsid w:val="00804E2C"/>
    <w:rsid w:val="00834449"/>
    <w:rsid w:val="00862CAE"/>
    <w:rsid w:val="008F463C"/>
    <w:rsid w:val="009320F4"/>
    <w:rsid w:val="009463E1"/>
    <w:rsid w:val="0095140E"/>
    <w:rsid w:val="009723F3"/>
    <w:rsid w:val="009D4209"/>
    <w:rsid w:val="009E0CDE"/>
    <w:rsid w:val="00A3504B"/>
    <w:rsid w:val="00A46089"/>
    <w:rsid w:val="00A47FDA"/>
    <w:rsid w:val="00A545EE"/>
    <w:rsid w:val="00A63FE9"/>
    <w:rsid w:val="00A82D90"/>
    <w:rsid w:val="00AA600F"/>
    <w:rsid w:val="00AB7CE7"/>
    <w:rsid w:val="00AC3D9A"/>
    <w:rsid w:val="00AC6248"/>
    <w:rsid w:val="00AD3F32"/>
    <w:rsid w:val="00AE731A"/>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A48D4"/>
    <w:rsid w:val="00EE1A1C"/>
    <w:rsid w:val="00F14AE9"/>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514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F21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mailto:kundenservice@praxispurmedien.de?subject=Gratis-Test-Anford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222A-9136-4297-B1A7-AED0CD51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2021-12-30T07:27:00Z</dcterms:created>
  <dcterms:modified xsi:type="dcterms:W3CDTF">2021-12-30T07:27:00Z</dcterms:modified>
</cp:coreProperties>
</file>