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000F" w14:textId="77777777" w:rsidR="00E239BD" w:rsidRDefault="000B24CC" w:rsidP="008F463C">
      <w:pPr>
        <w:spacing w:after="160" w:line="259" w:lineRule="auto"/>
        <w:rPr>
          <w:rFonts w:asciiTheme="minorHAnsi" w:hAnsiTheme="minorHAnsi"/>
          <w:b/>
          <w:sz w:val="32"/>
          <w:szCs w:val="32"/>
        </w:rPr>
      </w:pPr>
      <w:r w:rsidRPr="000B24CC">
        <w:rPr>
          <w:rFonts w:asciiTheme="minorHAnsi" w:hAnsiTheme="minorHAnsi"/>
          <w:b/>
          <w:sz w:val="32"/>
          <w:szCs w:val="32"/>
        </w:rPr>
        <w:t>Übersicht zur gesundheitsgerechten Gestaltung der Arbeitsplätze für ältere Be</w:t>
      </w:r>
      <w:r>
        <w:rPr>
          <w:rFonts w:asciiTheme="minorHAnsi" w:hAnsiTheme="minorHAnsi"/>
          <w:b/>
          <w:sz w:val="32"/>
          <w:szCs w:val="32"/>
        </w:rPr>
        <w:t>schäftigte</w:t>
      </w:r>
    </w:p>
    <w:tbl>
      <w:tblPr>
        <w:tblStyle w:val="Tabellenraster11"/>
        <w:tblW w:w="9112" w:type="dxa"/>
        <w:tblLook w:val="04A0" w:firstRow="1" w:lastRow="0" w:firstColumn="1" w:lastColumn="0" w:noHBand="0" w:noVBand="1"/>
      </w:tblPr>
      <w:tblGrid>
        <w:gridCol w:w="2587"/>
        <w:gridCol w:w="3562"/>
        <w:gridCol w:w="2963"/>
      </w:tblGrid>
      <w:tr w:rsidR="009033FF" w:rsidRPr="00C511DC" w14:paraId="499593DA" w14:textId="77777777" w:rsidTr="00E1188D">
        <w:tc>
          <w:tcPr>
            <w:tcW w:w="2587" w:type="dxa"/>
            <w:shd w:val="clear" w:color="auto" w:fill="F7CAAC" w:themeFill="accent2" w:themeFillTint="66"/>
          </w:tcPr>
          <w:p w14:paraId="496E3490" w14:textId="77777777" w:rsidR="009033FF" w:rsidRPr="00C511DC" w:rsidRDefault="009033FF" w:rsidP="00E1188D">
            <w:pPr>
              <w:spacing w:after="160" w:line="259" w:lineRule="auto"/>
              <w:rPr>
                <w:b/>
                <w:sz w:val="20"/>
                <w:szCs w:val="20"/>
              </w:rPr>
            </w:pPr>
            <w:r w:rsidRPr="00C511DC">
              <w:rPr>
                <w:b/>
                <w:sz w:val="20"/>
                <w:szCs w:val="20"/>
              </w:rPr>
              <w:t>Gestaltungshinweis</w:t>
            </w:r>
          </w:p>
        </w:tc>
        <w:tc>
          <w:tcPr>
            <w:tcW w:w="3562" w:type="dxa"/>
            <w:shd w:val="clear" w:color="auto" w:fill="F7CAAC" w:themeFill="accent2" w:themeFillTint="66"/>
          </w:tcPr>
          <w:p w14:paraId="23E34E7B" w14:textId="77777777" w:rsidR="009033FF" w:rsidRPr="00C511DC" w:rsidRDefault="009033FF" w:rsidP="00E1188D">
            <w:pPr>
              <w:spacing w:after="160" w:line="259" w:lineRule="auto"/>
              <w:rPr>
                <w:b/>
                <w:sz w:val="20"/>
                <w:szCs w:val="20"/>
              </w:rPr>
            </w:pPr>
            <w:r w:rsidRPr="00C511DC">
              <w:rPr>
                <w:b/>
                <w:sz w:val="20"/>
                <w:szCs w:val="20"/>
              </w:rPr>
              <w:t>Konkretisierung</w:t>
            </w:r>
          </w:p>
        </w:tc>
        <w:tc>
          <w:tcPr>
            <w:tcW w:w="2963" w:type="dxa"/>
            <w:shd w:val="clear" w:color="auto" w:fill="F7CAAC" w:themeFill="accent2" w:themeFillTint="66"/>
          </w:tcPr>
          <w:p w14:paraId="62469A2D" w14:textId="77777777" w:rsidR="009033FF" w:rsidRPr="00C511DC" w:rsidRDefault="009033FF" w:rsidP="00E1188D">
            <w:pPr>
              <w:spacing w:after="160" w:line="259" w:lineRule="auto"/>
              <w:rPr>
                <w:b/>
                <w:sz w:val="20"/>
                <w:szCs w:val="20"/>
              </w:rPr>
            </w:pPr>
            <w:r w:rsidRPr="00C511DC">
              <w:rPr>
                <w:b/>
                <w:sz w:val="20"/>
                <w:szCs w:val="20"/>
              </w:rPr>
              <w:t>Altersbezug</w:t>
            </w:r>
          </w:p>
        </w:tc>
      </w:tr>
      <w:tr w:rsidR="009033FF" w:rsidRPr="00C511DC" w14:paraId="23BF766D" w14:textId="77777777" w:rsidTr="00E1188D">
        <w:tc>
          <w:tcPr>
            <w:tcW w:w="2587" w:type="dxa"/>
          </w:tcPr>
          <w:p w14:paraId="0A55F46E" w14:textId="77777777" w:rsidR="009033FF" w:rsidRPr="00C511DC" w:rsidRDefault="009033FF" w:rsidP="00E1188D">
            <w:pPr>
              <w:spacing w:after="160" w:line="259" w:lineRule="auto"/>
              <w:rPr>
                <w:b/>
                <w:sz w:val="20"/>
                <w:szCs w:val="20"/>
              </w:rPr>
            </w:pPr>
            <w:r w:rsidRPr="00C511DC">
              <w:rPr>
                <w:b/>
                <w:sz w:val="20"/>
                <w:szCs w:val="20"/>
              </w:rPr>
              <w:t>Beleuchtungsstärke erhöhen</w:t>
            </w:r>
          </w:p>
        </w:tc>
        <w:tc>
          <w:tcPr>
            <w:tcW w:w="3562" w:type="dxa"/>
          </w:tcPr>
          <w:p w14:paraId="1E8ED876" w14:textId="77777777" w:rsidR="009033FF" w:rsidRPr="00C511DC" w:rsidRDefault="009033FF" w:rsidP="00E1188D">
            <w:pPr>
              <w:spacing w:after="160" w:line="259" w:lineRule="auto"/>
              <w:rPr>
                <w:sz w:val="20"/>
                <w:szCs w:val="20"/>
              </w:rPr>
            </w:pPr>
            <w:r w:rsidRPr="00C511DC">
              <w:rPr>
                <w:sz w:val="20"/>
                <w:szCs w:val="20"/>
              </w:rPr>
              <w:t>− Zusatzleuchten verwenden</w:t>
            </w:r>
          </w:p>
          <w:p w14:paraId="6912D8B1" w14:textId="77777777" w:rsidR="009033FF" w:rsidRPr="00C511DC" w:rsidRDefault="009033FF" w:rsidP="00E1188D">
            <w:pPr>
              <w:spacing w:after="160" w:line="259" w:lineRule="auto"/>
              <w:rPr>
                <w:sz w:val="20"/>
                <w:szCs w:val="20"/>
              </w:rPr>
            </w:pPr>
            <w:r w:rsidRPr="00C511DC">
              <w:rPr>
                <w:sz w:val="20"/>
                <w:szCs w:val="20"/>
              </w:rPr>
              <w:t>− Tageslicht bestmöglich nutzen</w:t>
            </w:r>
          </w:p>
          <w:p w14:paraId="130FF67D" w14:textId="77777777" w:rsidR="009033FF" w:rsidRPr="00C511DC" w:rsidRDefault="009033FF" w:rsidP="00E1188D">
            <w:pPr>
              <w:spacing w:after="160" w:line="259" w:lineRule="auto"/>
              <w:rPr>
                <w:sz w:val="20"/>
                <w:szCs w:val="20"/>
              </w:rPr>
            </w:pPr>
            <w:r w:rsidRPr="00C511DC">
              <w:rPr>
                <w:sz w:val="20"/>
                <w:szCs w:val="20"/>
              </w:rPr>
              <w:t>− Mischung von Allgemeinbeleuchtung und individuell einstellbarer Einzelplatzbeleuchtung</w:t>
            </w:r>
          </w:p>
        </w:tc>
        <w:tc>
          <w:tcPr>
            <w:tcW w:w="2963" w:type="dxa"/>
          </w:tcPr>
          <w:p w14:paraId="666FDA5F" w14:textId="77777777" w:rsidR="009033FF" w:rsidRPr="00C511DC" w:rsidRDefault="009033FF" w:rsidP="00E1188D">
            <w:pPr>
              <w:spacing w:after="160" w:line="259" w:lineRule="auto"/>
              <w:rPr>
                <w:sz w:val="20"/>
                <w:szCs w:val="20"/>
              </w:rPr>
            </w:pPr>
            <w:r w:rsidRPr="00C511DC">
              <w:rPr>
                <w:sz w:val="20"/>
                <w:szCs w:val="20"/>
              </w:rPr>
              <w:t>− Verringerte Sehschärfe</w:t>
            </w:r>
          </w:p>
          <w:p w14:paraId="6C195ADB" w14:textId="77777777" w:rsidR="009033FF" w:rsidRPr="00C511DC" w:rsidRDefault="009033FF" w:rsidP="00E1188D">
            <w:pPr>
              <w:spacing w:after="160" w:line="259" w:lineRule="auto"/>
              <w:rPr>
                <w:sz w:val="20"/>
                <w:szCs w:val="20"/>
              </w:rPr>
            </w:pPr>
            <w:r w:rsidRPr="00C511DC">
              <w:rPr>
                <w:sz w:val="20"/>
                <w:szCs w:val="20"/>
              </w:rPr>
              <w:t>− Verengtes Gesichtsfeld</w:t>
            </w:r>
          </w:p>
        </w:tc>
      </w:tr>
      <w:tr w:rsidR="009033FF" w:rsidRPr="00C511DC" w14:paraId="3D81DB7E" w14:textId="77777777" w:rsidTr="00E1188D">
        <w:tc>
          <w:tcPr>
            <w:tcW w:w="2587" w:type="dxa"/>
          </w:tcPr>
          <w:p w14:paraId="032EF89C" w14:textId="77777777" w:rsidR="009033FF" w:rsidRPr="00C511DC" w:rsidRDefault="009033FF" w:rsidP="00E1188D">
            <w:pPr>
              <w:spacing w:after="160" w:line="259" w:lineRule="auto"/>
              <w:rPr>
                <w:b/>
                <w:sz w:val="20"/>
                <w:szCs w:val="20"/>
              </w:rPr>
            </w:pPr>
            <w:r w:rsidRPr="00C511DC">
              <w:rPr>
                <w:b/>
                <w:sz w:val="20"/>
                <w:szCs w:val="20"/>
              </w:rPr>
              <w:t>Blendung vermeiden, insbesondere bei Überwachungs- und Steuerungstätigkeiten</w:t>
            </w:r>
          </w:p>
        </w:tc>
        <w:tc>
          <w:tcPr>
            <w:tcW w:w="3562" w:type="dxa"/>
          </w:tcPr>
          <w:p w14:paraId="3C043750" w14:textId="77777777" w:rsidR="009033FF" w:rsidRPr="00C511DC" w:rsidRDefault="009033FF" w:rsidP="00E1188D">
            <w:pPr>
              <w:spacing w:after="160" w:line="259" w:lineRule="auto"/>
              <w:rPr>
                <w:sz w:val="20"/>
                <w:szCs w:val="20"/>
              </w:rPr>
            </w:pPr>
            <w:r w:rsidRPr="00C511DC">
              <w:rPr>
                <w:sz w:val="20"/>
                <w:szCs w:val="20"/>
              </w:rPr>
              <w:t xml:space="preserve">− Keine Überschreitung des </w:t>
            </w:r>
            <w:proofErr w:type="spellStart"/>
            <w:r w:rsidRPr="00C511DC">
              <w:rPr>
                <w:sz w:val="20"/>
                <w:szCs w:val="20"/>
              </w:rPr>
              <w:t>Leuchtdichteverhältnises</w:t>
            </w:r>
            <w:proofErr w:type="spellEnd"/>
            <w:r w:rsidRPr="00C511DC">
              <w:rPr>
                <w:sz w:val="20"/>
                <w:szCs w:val="20"/>
              </w:rPr>
              <w:t xml:space="preserve"> von 3:1 zwischen der Leuchtdichte des näheren Umfelds und des direkten Arbeitsfelds</w:t>
            </w:r>
          </w:p>
          <w:p w14:paraId="08CACC37" w14:textId="77777777" w:rsidR="009033FF" w:rsidRPr="00C511DC" w:rsidRDefault="009033FF" w:rsidP="00E1188D">
            <w:pPr>
              <w:spacing w:after="160" w:line="259" w:lineRule="auto"/>
              <w:rPr>
                <w:sz w:val="20"/>
                <w:szCs w:val="20"/>
              </w:rPr>
            </w:pPr>
            <w:r w:rsidRPr="00C511DC">
              <w:rPr>
                <w:sz w:val="20"/>
                <w:szCs w:val="20"/>
              </w:rPr>
              <w:t>− Rasterleuchten zur Vermeidung von Direktblendung einsetzen, Lichtquellen bei direkter Blendung versetzen, mehrere kleine statt einer großen Lichtquelle</w:t>
            </w:r>
          </w:p>
          <w:p w14:paraId="6708FD6B" w14:textId="77777777" w:rsidR="009033FF" w:rsidRPr="00C511DC" w:rsidRDefault="009033FF" w:rsidP="00E1188D">
            <w:pPr>
              <w:spacing w:after="160" w:line="259" w:lineRule="auto"/>
              <w:rPr>
                <w:sz w:val="20"/>
                <w:szCs w:val="20"/>
              </w:rPr>
            </w:pPr>
            <w:r w:rsidRPr="00C511DC">
              <w:rPr>
                <w:sz w:val="20"/>
                <w:szCs w:val="20"/>
              </w:rPr>
              <w:t>− Bewegliche Monitore, um Blendung zu reduzieren</w:t>
            </w:r>
          </w:p>
        </w:tc>
        <w:tc>
          <w:tcPr>
            <w:tcW w:w="2963" w:type="dxa"/>
          </w:tcPr>
          <w:p w14:paraId="5EEEEEDA" w14:textId="77777777" w:rsidR="009033FF" w:rsidRPr="00C511DC" w:rsidRDefault="009033FF" w:rsidP="00E1188D">
            <w:pPr>
              <w:spacing w:after="160" w:line="259" w:lineRule="auto"/>
              <w:rPr>
                <w:sz w:val="20"/>
                <w:szCs w:val="20"/>
              </w:rPr>
            </w:pPr>
            <w:r w:rsidRPr="00C511DC">
              <w:rPr>
                <w:sz w:val="20"/>
                <w:szCs w:val="20"/>
              </w:rPr>
              <w:t xml:space="preserve">− Erhöhte </w:t>
            </w:r>
            <w:proofErr w:type="spellStart"/>
            <w:r w:rsidRPr="00C511DC">
              <w:rPr>
                <w:sz w:val="20"/>
                <w:szCs w:val="20"/>
              </w:rPr>
              <w:t>Blendempfindlichkeit</w:t>
            </w:r>
            <w:proofErr w:type="spellEnd"/>
          </w:p>
          <w:p w14:paraId="0F4DFA23" w14:textId="77777777" w:rsidR="009033FF" w:rsidRPr="00C511DC" w:rsidRDefault="009033FF" w:rsidP="00E1188D">
            <w:pPr>
              <w:spacing w:after="160" w:line="259" w:lineRule="auto"/>
              <w:rPr>
                <w:sz w:val="20"/>
                <w:szCs w:val="20"/>
              </w:rPr>
            </w:pPr>
            <w:r w:rsidRPr="00C511DC">
              <w:rPr>
                <w:sz w:val="20"/>
                <w:szCs w:val="20"/>
              </w:rPr>
              <w:t>− Verringerte Adaptationsfähigkeit</w:t>
            </w:r>
          </w:p>
        </w:tc>
      </w:tr>
      <w:tr w:rsidR="009033FF" w:rsidRPr="00C511DC" w14:paraId="5DAD4AC5" w14:textId="77777777" w:rsidTr="00E1188D">
        <w:tc>
          <w:tcPr>
            <w:tcW w:w="2587" w:type="dxa"/>
          </w:tcPr>
          <w:p w14:paraId="39CE5541" w14:textId="77777777" w:rsidR="009033FF" w:rsidRPr="00C511DC" w:rsidRDefault="009033FF" w:rsidP="00E1188D">
            <w:pPr>
              <w:spacing w:after="160" w:line="259" w:lineRule="auto"/>
              <w:rPr>
                <w:b/>
                <w:sz w:val="20"/>
                <w:szCs w:val="20"/>
              </w:rPr>
            </w:pPr>
            <w:r w:rsidRPr="00C511DC">
              <w:rPr>
                <w:b/>
                <w:sz w:val="20"/>
                <w:szCs w:val="20"/>
              </w:rPr>
              <w:t>Kontraste erhöhen</w:t>
            </w:r>
          </w:p>
        </w:tc>
        <w:tc>
          <w:tcPr>
            <w:tcW w:w="3562" w:type="dxa"/>
          </w:tcPr>
          <w:p w14:paraId="3BA96858" w14:textId="77777777" w:rsidR="009033FF" w:rsidRPr="00C511DC" w:rsidRDefault="009033FF" w:rsidP="00E1188D">
            <w:pPr>
              <w:spacing w:after="160" w:line="259" w:lineRule="auto"/>
              <w:rPr>
                <w:sz w:val="20"/>
                <w:szCs w:val="20"/>
              </w:rPr>
            </w:pPr>
            <w:r w:rsidRPr="00C511DC">
              <w:rPr>
                <w:sz w:val="20"/>
                <w:szCs w:val="20"/>
              </w:rPr>
              <w:t xml:space="preserve">− Eine angemessen kontrastreiche Farbgestaltung kann z. B. bei </w:t>
            </w:r>
            <w:proofErr w:type="spellStart"/>
            <w:r w:rsidRPr="00C511DC">
              <w:rPr>
                <w:sz w:val="20"/>
                <w:szCs w:val="20"/>
              </w:rPr>
              <w:t>kurzgetakteten</w:t>
            </w:r>
            <w:proofErr w:type="spellEnd"/>
            <w:r w:rsidRPr="00C511DC">
              <w:rPr>
                <w:sz w:val="20"/>
                <w:szCs w:val="20"/>
              </w:rPr>
              <w:t xml:space="preserve"> Montagetätigkeiten der Monotonie entgegenwirken (auffällige oder abwechslungsreiche Farben)</w:t>
            </w:r>
          </w:p>
          <w:p w14:paraId="6D14C79D" w14:textId="77777777" w:rsidR="009033FF" w:rsidRPr="00C511DC" w:rsidRDefault="009033FF" w:rsidP="00E1188D">
            <w:pPr>
              <w:spacing w:after="160" w:line="259" w:lineRule="auto"/>
              <w:rPr>
                <w:sz w:val="20"/>
                <w:szCs w:val="20"/>
              </w:rPr>
            </w:pPr>
            <w:r w:rsidRPr="00C511DC">
              <w:rPr>
                <w:sz w:val="20"/>
                <w:szCs w:val="20"/>
              </w:rPr>
              <w:t xml:space="preserve">− Dunkle Schrift auf hellem Hintergrund bei Monitoren, Hinweisschildern etc. wählen, um die </w:t>
            </w:r>
            <w:proofErr w:type="spellStart"/>
            <w:r w:rsidRPr="00C511DC">
              <w:rPr>
                <w:sz w:val="20"/>
                <w:szCs w:val="20"/>
              </w:rPr>
              <w:t>Erkennensleistung</w:t>
            </w:r>
            <w:proofErr w:type="spellEnd"/>
            <w:r w:rsidRPr="00C511DC">
              <w:rPr>
                <w:sz w:val="20"/>
                <w:szCs w:val="20"/>
              </w:rPr>
              <w:t xml:space="preserve"> zu verbessern</w:t>
            </w:r>
          </w:p>
          <w:p w14:paraId="513AD575" w14:textId="77777777" w:rsidR="009033FF" w:rsidRPr="00C511DC" w:rsidRDefault="009033FF" w:rsidP="00E1188D">
            <w:pPr>
              <w:spacing w:after="160" w:line="259" w:lineRule="auto"/>
              <w:rPr>
                <w:sz w:val="20"/>
                <w:szCs w:val="20"/>
              </w:rPr>
            </w:pPr>
            <w:r w:rsidRPr="00C511DC">
              <w:rPr>
                <w:sz w:val="20"/>
                <w:szCs w:val="20"/>
              </w:rPr>
              <w:t>− Auf Farbunterscheidungen im kurzwelligen Spektralbereich (z. B. zwischen blau und grün bei Anzeigen) verzichten</w:t>
            </w:r>
          </w:p>
          <w:p w14:paraId="591BDA6B" w14:textId="77777777" w:rsidR="009033FF" w:rsidRPr="00C511DC" w:rsidRDefault="009033FF" w:rsidP="00E1188D">
            <w:pPr>
              <w:spacing w:after="160" w:line="259" w:lineRule="auto"/>
              <w:rPr>
                <w:sz w:val="20"/>
                <w:szCs w:val="20"/>
              </w:rPr>
            </w:pPr>
            <w:r w:rsidRPr="00C511DC">
              <w:rPr>
                <w:sz w:val="20"/>
                <w:szCs w:val="20"/>
              </w:rPr>
              <w:t>− Lichtstärken erhöhen, um die Farbwahrnehmung zu steigern</w:t>
            </w:r>
          </w:p>
        </w:tc>
        <w:tc>
          <w:tcPr>
            <w:tcW w:w="2963" w:type="dxa"/>
          </w:tcPr>
          <w:p w14:paraId="1C9730D0" w14:textId="77777777" w:rsidR="009033FF" w:rsidRPr="00C511DC" w:rsidRDefault="009033FF" w:rsidP="00E1188D">
            <w:pPr>
              <w:spacing w:after="160" w:line="259" w:lineRule="auto"/>
              <w:rPr>
                <w:sz w:val="20"/>
                <w:szCs w:val="20"/>
              </w:rPr>
            </w:pPr>
            <w:r w:rsidRPr="00C511DC">
              <w:rPr>
                <w:sz w:val="20"/>
                <w:szCs w:val="20"/>
              </w:rPr>
              <w:t>− Wachsende Bedeutung des Kontrastes für die Sehschärfe</w:t>
            </w:r>
          </w:p>
          <w:p w14:paraId="6F384B4A" w14:textId="77777777" w:rsidR="009033FF" w:rsidRPr="00C511DC" w:rsidRDefault="009033FF" w:rsidP="00E1188D">
            <w:pPr>
              <w:spacing w:after="160" w:line="259" w:lineRule="auto"/>
              <w:rPr>
                <w:sz w:val="20"/>
                <w:szCs w:val="20"/>
              </w:rPr>
            </w:pPr>
            <w:r w:rsidRPr="00C511DC">
              <w:rPr>
                <w:sz w:val="20"/>
                <w:szCs w:val="20"/>
              </w:rPr>
              <w:t xml:space="preserve">− Reduzierte </w:t>
            </w:r>
            <w:proofErr w:type="spellStart"/>
            <w:r w:rsidRPr="00C511DC">
              <w:rPr>
                <w:sz w:val="20"/>
                <w:szCs w:val="20"/>
              </w:rPr>
              <w:t>Farbsensititvität</w:t>
            </w:r>
            <w:proofErr w:type="spellEnd"/>
          </w:p>
        </w:tc>
      </w:tr>
      <w:tr w:rsidR="009033FF" w:rsidRPr="00C511DC" w14:paraId="54C65806" w14:textId="77777777" w:rsidTr="00E1188D">
        <w:tc>
          <w:tcPr>
            <w:tcW w:w="2587" w:type="dxa"/>
          </w:tcPr>
          <w:p w14:paraId="5C1A4F31" w14:textId="77777777" w:rsidR="009033FF" w:rsidRPr="00C511DC" w:rsidRDefault="009033FF" w:rsidP="00E1188D">
            <w:pPr>
              <w:spacing w:after="160" w:line="259" w:lineRule="auto"/>
              <w:rPr>
                <w:b/>
                <w:sz w:val="20"/>
                <w:szCs w:val="20"/>
              </w:rPr>
            </w:pPr>
            <w:r w:rsidRPr="00C511DC">
              <w:rPr>
                <w:b/>
                <w:sz w:val="20"/>
                <w:szCs w:val="20"/>
              </w:rPr>
              <w:t>Zu hohe Leuchtdichteunterschiede</w:t>
            </w:r>
          </w:p>
          <w:p w14:paraId="785CECA7" w14:textId="77777777" w:rsidR="009033FF" w:rsidRPr="00C511DC" w:rsidRDefault="009033FF" w:rsidP="00E1188D">
            <w:pPr>
              <w:spacing w:after="160" w:line="259" w:lineRule="auto"/>
              <w:rPr>
                <w:b/>
                <w:sz w:val="20"/>
                <w:szCs w:val="20"/>
              </w:rPr>
            </w:pPr>
            <w:r w:rsidRPr="00C511DC">
              <w:rPr>
                <w:b/>
                <w:sz w:val="20"/>
                <w:szCs w:val="20"/>
              </w:rPr>
              <w:t>vermeiden</w:t>
            </w:r>
          </w:p>
        </w:tc>
        <w:tc>
          <w:tcPr>
            <w:tcW w:w="3562" w:type="dxa"/>
          </w:tcPr>
          <w:p w14:paraId="1FEFCB6A" w14:textId="77777777" w:rsidR="009033FF" w:rsidRPr="00C511DC" w:rsidRDefault="009033FF" w:rsidP="00E1188D">
            <w:pPr>
              <w:spacing w:after="160" w:line="259" w:lineRule="auto"/>
              <w:rPr>
                <w:sz w:val="20"/>
                <w:szCs w:val="20"/>
              </w:rPr>
            </w:pPr>
            <w:r w:rsidRPr="00C511DC">
              <w:rPr>
                <w:sz w:val="20"/>
                <w:szCs w:val="20"/>
              </w:rPr>
              <w:t>− Häufiges Wechseln zwischen sehr hellen und sehr dunklen Arbeitsbereichen ermüdet die Augen und sollte vermieden werden</w:t>
            </w:r>
          </w:p>
          <w:p w14:paraId="4D5B6804" w14:textId="77777777" w:rsidR="009033FF" w:rsidRPr="00C511DC" w:rsidRDefault="009033FF" w:rsidP="00E1188D">
            <w:pPr>
              <w:spacing w:after="160" w:line="259" w:lineRule="auto"/>
              <w:rPr>
                <w:sz w:val="20"/>
                <w:szCs w:val="20"/>
              </w:rPr>
            </w:pPr>
            <w:r w:rsidRPr="00C511DC">
              <w:rPr>
                <w:sz w:val="20"/>
                <w:szCs w:val="20"/>
              </w:rPr>
              <w:t>− Beleuchtung zwischen sehr hellen und dunklen Bereichen anpassen (z. B. Logistik</w:t>
            </w:r>
          </w:p>
        </w:tc>
        <w:tc>
          <w:tcPr>
            <w:tcW w:w="2963" w:type="dxa"/>
          </w:tcPr>
          <w:p w14:paraId="46B2385F" w14:textId="77777777" w:rsidR="009033FF" w:rsidRPr="00C511DC" w:rsidRDefault="009033FF" w:rsidP="00E1188D">
            <w:pPr>
              <w:spacing w:after="160" w:line="259" w:lineRule="auto"/>
              <w:rPr>
                <w:sz w:val="20"/>
                <w:szCs w:val="20"/>
              </w:rPr>
            </w:pPr>
            <w:r w:rsidRPr="00C511DC">
              <w:rPr>
                <w:sz w:val="20"/>
                <w:szCs w:val="20"/>
              </w:rPr>
              <w:t>− Schlechteres Nachtsehen</w:t>
            </w:r>
          </w:p>
          <w:p w14:paraId="3E2962F6" w14:textId="77777777" w:rsidR="009033FF" w:rsidRPr="00C511DC" w:rsidRDefault="009033FF" w:rsidP="00E1188D">
            <w:pPr>
              <w:spacing w:after="160" w:line="259" w:lineRule="auto"/>
              <w:rPr>
                <w:sz w:val="20"/>
                <w:szCs w:val="20"/>
              </w:rPr>
            </w:pPr>
            <w:r w:rsidRPr="00C511DC">
              <w:rPr>
                <w:sz w:val="20"/>
                <w:szCs w:val="20"/>
              </w:rPr>
              <w:t>− Verringerte Adaptionsfähigkeit</w:t>
            </w:r>
          </w:p>
        </w:tc>
      </w:tr>
      <w:tr w:rsidR="009033FF" w:rsidRPr="00C511DC" w14:paraId="4215547A" w14:textId="77777777" w:rsidTr="00E1188D">
        <w:tc>
          <w:tcPr>
            <w:tcW w:w="2587" w:type="dxa"/>
          </w:tcPr>
          <w:p w14:paraId="582BC428" w14:textId="77777777" w:rsidR="009033FF" w:rsidRPr="00C511DC" w:rsidRDefault="009033FF" w:rsidP="00E1188D">
            <w:pPr>
              <w:spacing w:after="160" w:line="259" w:lineRule="auto"/>
              <w:rPr>
                <w:b/>
                <w:sz w:val="20"/>
                <w:szCs w:val="20"/>
              </w:rPr>
            </w:pPr>
            <w:r w:rsidRPr="00C511DC">
              <w:rPr>
                <w:b/>
                <w:sz w:val="20"/>
                <w:szCs w:val="20"/>
              </w:rPr>
              <w:t>Objektgrößen anpassen</w:t>
            </w:r>
          </w:p>
        </w:tc>
        <w:tc>
          <w:tcPr>
            <w:tcW w:w="3562" w:type="dxa"/>
          </w:tcPr>
          <w:p w14:paraId="2211148A" w14:textId="77777777" w:rsidR="009033FF" w:rsidRPr="00C511DC" w:rsidRDefault="009033FF" w:rsidP="00E1188D">
            <w:pPr>
              <w:spacing w:after="160" w:line="259" w:lineRule="auto"/>
              <w:rPr>
                <w:sz w:val="20"/>
                <w:szCs w:val="20"/>
              </w:rPr>
            </w:pPr>
            <w:r w:rsidRPr="00C511DC">
              <w:rPr>
                <w:sz w:val="20"/>
                <w:szCs w:val="20"/>
              </w:rPr>
              <w:t>− Vergrößerung von Schrift und Signalen</w:t>
            </w:r>
          </w:p>
          <w:p w14:paraId="044DBC17" w14:textId="77777777" w:rsidR="009033FF" w:rsidRPr="00C511DC" w:rsidRDefault="009033FF" w:rsidP="00E1188D">
            <w:pPr>
              <w:spacing w:after="160" w:line="259" w:lineRule="auto"/>
              <w:rPr>
                <w:sz w:val="20"/>
                <w:szCs w:val="20"/>
              </w:rPr>
            </w:pPr>
            <w:r w:rsidRPr="00C511DC">
              <w:rPr>
                <w:sz w:val="20"/>
                <w:szCs w:val="20"/>
              </w:rPr>
              <w:lastRenderedPageBreak/>
              <w:t>− Anpassbare Zeichen- und Objektgrößen ermöglichen bessere Sehbedingungen</w:t>
            </w:r>
          </w:p>
        </w:tc>
        <w:tc>
          <w:tcPr>
            <w:tcW w:w="2963" w:type="dxa"/>
          </w:tcPr>
          <w:p w14:paraId="35357C8C" w14:textId="77777777" w:rsidR="009033FF" w:rsidRPr="00C511DC" w:rsidRDefault="009033FF" w:rsidP="00E1188D">
            <w:pPr>
              <w:spacing w:after="160" w:line="259" w:lineRule="auto"/>
              <w:rPr>
                <w:sz w:val="20"/>
                <w:szCs w:val="20"/>
              </w:rPr>
            </w:pPr>
            <w:r w:rsidRPr="00C511DC">
              <w:rPr>
                <w:sz w:val="20"/>
                <w:szCs w:val="20"/>
              </w:rPr>
              <w:lastRenderedPageBreak/>
              <w:t xml:space="preserve">− Verringerung der Sehschärfe und der </w:t>
            </w:r>
            <w:proofErr w:type="spellStart"/>
            <w:r w:rsidRPr="00C511DC">
              <w:rPr>
                <w:sz w:val="20"/>
                <w:szCs w:val="20"/>
              </w:rPr>
              <w:t>Akkomodationsfähig</w:t>
            </w:r>
            <w:proofErr w:type="spellEnd"/>
          </w:p>
          <w:p w14:paraId="5FF7D78E" w14:textId="77777777" w:rsidR="009033FF" w:rsidRPr="00C511DC" w:rsidRDefault="009033FF" w:rsidP="00E1188D">
            <w:pPr>
              <w:spacing w:after="160" w:line="259" w:lineRule="auto"/>
              <w:rPr>
                <w:sz w:val="20"/>
                <w:szCs w:val="20"/>
              </w:rPr>
            </w:pPr>
            <w:proofErr w:type="spellStart"/>
            <w:r w:rsidRPr="00C511DC">
              <w:rPr>
                <w:sz w:val="20"/>
                <w:szCs w:val="20"/>
              </w:rPr>
              <w:lastRenderedPageBreak/>
              <w:t>keit</w:t>
            </w:r>
            <w:proofErr w:type="spellEnd"/>
          </w:p>
        </w:tc>
      </w:tr>
      <w:tr w:rsidR="009033FF" w:rsidRPr="00C511DC" w14:paraId="2AB4D6E2" w14:textId="77777777" w:rsidTr="00E1188D">
        <w:tc>
          <w:tcPr>
            <w:tcW w:w="2587" w:type="dxa"/>
          </w:tcPr>
          <w:p w14:paraId="4756A9C1" w14:textId="77777777" w:rsidR="009033FF" w:rsidRPr="00C511DC" w:rsidRDefault="009033FF" w:rsidP="00E1188D">
            <w:pPr>
              <w:spacing w:after="160" w:line="259" w:lineRule="auto"/>
              <w:rPr>
                <w:b/>
                <w:sz w:val="20"/>
                <w:szCs w:val="20"/>
              </w:rPr>
            </w:pPr>
            <w:r w:rsidRPr="00C511DC">
              <w:rPr>
                <w:b/>
                <w:sz w:val="20"/>
                <w:szCs w:val="20"/>
              </w:rPr>
              <w:lastRenderedPageBreak/>
              <w:t>Brille, Kontaktlinsen benutzen</w:t>
            </w:r>
          </w:p>
        </w:tc>
        <w:tc>
          <w:tcPr>
            <w:tcW w:w="3562" w:type="dxa"/>
          </w:tcPr>
          <w:p w14:paraId="62BB3E5B" w14:textId="77777777" w:rsidR="009033FF" w:rsidRPr="00C511DC" w:rsidRDefault="009033FF" w:rsidP="00E1188D">
            <w:pPr>
              <w:spacing w:after="160" w:line="259" w:lineRule="auto"/>
              <w:rPr>
                <w:sz w:val="20"/>
                <w:szCs w:val="20"/>
              </w:rPr>
            </w:pPr>
            <w:r w:rsidRPr="00C511DC">
              <w:rPr>
                <w:sz w:val="20"/>
                <w:szCs w:val="20"/>
              </w:rPr>
              <w:t>− Sehhilfen können Sehschwächen kompensieren; die Tiefensehschärfe kann durch Brillen allerdings nur in jungen Jahren verbessert werden</w:t>
            </w:r>
          </w:p>
        </w:tc>
        <w:tc>
          <w:tcPr>
            <w:tcW w:w="2963" w:type="dxa"/>
          </w:tcPr>
          <w:p w14:paraId="445422D1" w14:textId="77777777" w:rsidR="009033FF" w:rsidRPr="00C511DC" w:rsidRDefault="009033FF" w:rsidP="00E1188D">
            <w:pPr>
              <w:spacing w:after="160" w:line="259" w:lineRule="auto"/>
              <w:rPr>
                <w:sz w:val="20"/>
                <w:szCs w:val="20"/>
              </w:rPr>
            </w:pPr>
            <w:r w:rsidRPr="00C511DC">
              <w:rPr>
                <w:sz w:val="20"/>
                <w:szCs w:val="20"/>
              </w:rPr>
              <w:t xml:space="preserve">− Verringerung der (Tiefen-)Sehschärfe </w:t>
            </w:r>
          </w:p>
          <w:p w14:paraId="6AC88C22" w14:textId="77777777" w:rsidR="009033FF" w:rsidRPr="00C511DC" w:rsidRDefault="009033FF" w:rsidP="00E1188D">
            <w:pPr>
              <w:spacing w:after="160" w:line="259" w:lineRule="auto"/>
              <w:rPr>
                <w:sz w:val="20"/>
                <w:szCs w:val="20"/>
              </w:rPr>
            </w:pPr>
            <w:r w:rsidRPr="00C511DC">
              <w:rPr>
                <w:sz w:val="20"/>
                <w:szCs w:val="20"/>
              </w:rPr>
              <w:t xml:space="preserve">− Abnahme der </w:t>
            </w:r>
            <w:proofErr w:type="spellStart"/>
            <w:r w:rsidRPr="00C511DC">
              <w:rPr>
                <w:sz w:val="20"/>
                <w:szCs w:val="20"/>
              </w:rPr>
              <w:t>Akkomodationsbreite</w:t>
            </w:r>
            <w:proofErr w:type="spellEnd"/>
          </w:p>
        </w:tc>
      </w:tr>
      <w:tr w:rsidR="009033FF" w:rsidRPr="00C511DC" w14:paraId="37BA0273" w14:textId="77777777" w:rsidTr="00E1188D">
        <w:tc>
          <w:tcPr>
            <w:tcW w:w="2587" w:type="dxa"/>
          </w:tcPr>
          <w:p w14:paraId="76A4708B" w14:textId="77777777" w:rsidR="009033FF" w:rsidRPr="00C511DC" w:rsidRDefault="009033FF" w:rsidP="00E1188D">
            <w:pPr>
              <w:spacing w:after="160" w:line="259" w:lineRule="auto"/>
              <w:rPr>
                <w:b/>
                <w:sz w:val="20"/>
                <w:szCs w:val="20"/>
              </w:rPr>
            </w:pPr>
            <w:r w:rsidRPr="00C511DC">
              <w:rPr>
                <w:b/>
                <w:sz w:val="20"/>
                <w:szCs w:val="20"/>
              </w:rPr>
              <w:t>Regelmäßige Augenuntersuchungen</w:t>
            </w:r>
          </w:p>
        </w:tc>
        <w:tc>
          <w:tcPr>
            <w:tcW w:w="3562" w:type="dxa"/>
          </w:tcPr>
          <w:p w14:paraId="1D7E7989" w14:textId="77777777" w:rsidR="009033FF" w:rsidRPr="00C511DC" w:rsidRDefault="009033FF" w:rsidP="00E1188D">
            <w:pPr>
              <w:spacing w:after="160" w:line="259" w:lineRule="auto"/>
              <w:rPr>
                <w:sz w:val="20"/>
                <w:szCs w:val="20"/>
              </w:rPr>
            </w:pPr>
            <w:r w:rsidRPr="00C511DC">
              <w:rPr>
                <w:sz w:val="20"/>
                <w:szCs w:val="20"/>
              </w:rPr>
              <w:t>− Regelmäßige Untersuchungen der visuellen Wahrnehmung, die sich nicht nur auf „die Älteren“ beschränken</w:t>
            </w:r>
          </w:p>
        </w:tc>
        <w:tc>
          <w:tcPr>
            <w:tcW w:w="2963" w:type="dxa"/>
          </w:tcPr>
          <w:p w14:paraId="18094C1F" w14:textId="77777777" w:rsidR="009033FF" w:rsidRPr="00C511DC" w:rsidRDefault="009033FF" w:rsidP="00E1188D">
            <w:pPr>
              <w:spacing w:after="160" w:line="259" w:lineRule="auto"/>
              <w:rPr>
                <w:sz w:val="20"/>
                <w:szCs w:val="20"/>
              </w:rPr>
            </w:pPr>
          </w:p>
        </w:tc>
      </w:tr>
      <w:tr w:rsidR="009033FF" w:rsidRPr="00C511DC" w14:paraId="1DB8810B" w14:textId="77777777" w:rsidTr="00E1188D">
        <w:tc>
          <w:tcPr>
            <w:tcW w:w="2587" w:type="dxa"/>
          </w:tcPr>
          <w:p w14:paraId="75FCD0AA" w14:textId="77777777" w:rsidR="009033FF" w:rsidRPr="00C511DC" w:rsidRDefault="009033FF" w:rsidP="00E1188D">
            <w:pPr>
              <w:spacing w:after="160" w:line="259" w:lineRule="auto"/>
              <w:rPr>
                <w:b/>
                <w:sz w:val="20"/>
                <w:szCs w:val="20"/>
              </w:rPr>
            </w:pPr>
            <w:r w:rsidRPr="00C511DC">
              <w:rPr>
                <w:b/>
                <w:sz w:val="20"/>
                <w:szCs w:val="20"/>
              </w:rPr>
              <w:t>Hintergrundgeräusche und dauerhaften Lärm reduzieren</w:t>
            </w:r>
          </w:p>
        </w:tc>
        <w:tc>
          <w:tcPr>
            <w:tcW w:w="3562" w:type="dxa"/>
          </w:tcPr>
          <w:p w14:paraId="7EDDF042" w14:textId="77777777" w:rsidR="009033FF" w:rsidRPr="00C511DC" w:rsidRDefault="009033FF" w:rsidP="00E1188D">
            <w:pPr>
              <w:spacing w:after="160" w:line="259" w:lineRule="auto"/>
              <w:rPr>
                <w:sz w:val="20"/>
                <w:szCs w:val="20"/>
              </w:rPr>
            </w:pPr>
            <w:r w:rsidRPr="00C511DC">
              <w:rPr>
                <w:sz w:val="20"/>
                <w:szCs w:val="20"/>
              </w:rPr>
              <w:t xml:space="preserve">− </w:t>
            </w:r>
            <w:proofErr w:type="spellStart"/>
            <w:r w:rsidRPr="00C511DC">
              <w:rPr>
                <w:sz w:val="20"/>
                <w:szCs w:val="20"/>
              </w:rPr>
              <w:t>Lärmarme</w:t>
            </w:r>
            <w:proofErr w:type="spellEnd"/>
            <w:r w:rsidRPr="00C511DC">
              <w:rPr>
                <w:sz w:val="20"/>
                <w:szCs w:val="20"/>
              </w:rPr>
              <w:t xml:space="preserve"> Geräte auswählen (z. B. Maschinen, Werkzeuge, Drucker, PC)</w:t>
            </w:r>
          </w:p>
          <w:p w14:paraId="23570066" w14:textId="77777777" w:rsidR="009033FF" w:rsidRPr="00C511DC" w:rsidRDefault="009033FF" w:rsidP="00E1188D">
            <w:pPr>
              <w:spacing w:after="160" w:line="259" w:lineRule="auto"/>
              <w:rPr>
                <w:sz w:val="20"/>
                <w:szCs w:val="20"/>
              </w:rPr>
            </w:pPr>
            <w:r w:rsidRPr="00C511DC">
              <w:rPr>
                <w:sz w:val="20"/>
                <w:szCs w:val="20"/>
              </w:rPr>
              <w:t>− Lärmübertragung mindern, z. B. schallabsorbierende Trennwände oder Decken, schalldämmende Materialien (z. B. Teppich) oder Schalldämpfer verwenden</w:t>
            </w:r>
          </w:p>
        </w:tc>
        <w:tc>
          <w:tcPr>
            <w:tcW w:w="2963" w:type="dxa"/>
          </w:tcPr>
          <w:p w14:paraId="5BB71C99" w14:textId="77777777" w:rsidR="009033FF" w:rsidRPr="00C511DC" w:rsidRDefault="009033FF" w:rsidP="00E1188D">
            <w:pPr>
              <w:spacing w:after="160" w:line="259" w:lineRule="auto"/>
              <w:rPr>
                <w:sz w:val="20"/>
                <w:szCs w:val="20"/>
              </w:rPr>
            </w:pPr>
            <w:r w:rsidRPr="00C511DC">
              <w:rPr>
                <w:sz w:val="20"/>
                <w:szCs w:val="20"/>
              </w:rPr>
              <w:t>− Abnehmende Fähigkeit der Frequenzunterscheidung</w:t>
            </w:r>
          </w:p>
          <w:p w14:paraId="1AD107BB" w14:textId="77777777" w:rsidR="009033FF" w:rsidRPr="00C511DC" w:rsidRDefault="009033FF" w:rsidP="00E1188D">
            <w:pPr>
              <w:spacing w:after="160" w:line="259" w:lineRule="auto"/>
              <w:rPr>
                <w:sz w:val="20"/>
                <w:szCs w:val="20"/>
              </w:rPr>
            </w:pPr>
            <w:r w:rsidRPr="00C511DC">
              <w:rPr>
                <w:sz w:val="20"/>
                <w:szCs w:val="20"/>
              </w:rPr>
              <w:t xml:space="preserve">− Zunehmendes Risiko der (Alters-)Schwerhörigkeit  </w:t>
            </w:r>
          </w:p>
          <w:p w14:paraId="602244DB" w14:textId="77777777" w:rsidR="009033FF" w:rsidRPr="00C511DC" w:rsidRDefault="009033FF" w:rsidP="00E1188D">
            <w:pPr>
              <w:spacing w:after="160" w:line="259" w:lineRule="auto"/>
              <w:rPr>
                <w:sz w:val="20"/>
                <w:szCs w:val="20"/>
              </w:rPr>
            </w:pPr>
            <w:r w:rsidRPr="00C511DC">
              <w:rPr>
                <w:sz w:val="20"/>
                <w:szCs w:val="20"/>
              </w:rPr>
              <w:t>− Zunehmende Lärmempfindlichkeit</w:t>
            </w:r>
          </w:p>
        </w:tc>
      </w:tr>
      <w:tr w:rsidR="009033FF" w:rsidRPr="00C511DC" w14:paraId="17BA3E8F" w14:textId="77777777" w:rsidTr="00E1188D">
        <w:tc>
          <w:tcPr>
            <w:tcW w:w="2587" w:type="dxa"/>
          </w:tcPr>
          <w:p w14:paraId="4A3B43A9" w14:textId="77777777" w:rsidR="009033FF" w:rsidRPr="00C511DC" w:rsidRDefault="009033FF" w:rsidP="00E1188D">
            <w:pPr>
              <w:spacing w:after="160" w:line="259" w:lineRule="auto"/>
              <w:rPr>
                <w:b/>
                <w:sz w:val="20"/>
                <w:szCs w:val="20"/>
              </w:rPr>
            </w:pPr>
            <w:r w:rsidRPr="00C511DC">
              <w:rPr>
                <w:b/>
                <w:sz w:val="20"/>
                <w:szCs w:val="20"/>
              </w:rPr>
              <w:t>Eindeutigkeit der Signale erhöhen</w:t>
            </w:r>
          </w:p>
        </w:tc>
        <w:tc>
          <w:tcPr>
            <w:tcW w:w="3562" w:type="dxa"/>
          </w:tcPr>
          <w:p w14:paraId="5E9F7ADE" w14:textId="77777777" w:rsidR="009033FF" w:rsidRPr="00C511DC" w:rsidRDefault="009033FF" w:rsidP="00E1188D">
            <w:pPr>
              <w:spacing w:after="160" w:line="259" w:lineRule="auto"/>
              <w:rPr>
                <w:sz w:val="20"/>
                <w:szCs w:val="20"/>
              </w:rPr>
            </w:pPr>
            <w:r w:rsidRPr="00C511DC">
              <w:rPr>
                <w:sz w:val="20"/>
                <w:szCs w:val="20"/>
              </w:rPr>
              <w:t>− Frequenz, Häufigkeit und Pegel des Signals in Abhängigkeit der akustischen Umgebung auswählen, in Büroumgebungen z. B. tiefere statt höhere Signaltöne wählen</w:t>
            </w:r>
          </w:p>
          <w:p w14:paraId="273973A3" w14:textId="77777777" w:rsidR="009033FF" w:rsidRPr="00C511DC" w:rsidRDefault="009033FF" w:rsidP="00E1188D">
            <w:pPr>
              <w:spacing w:after="160" w:line="259" w:lineRule="auto"/>
              <w:rPr>
                <w:sz w:val="20"/>
                <w:szCs w:val="20"/>
              </w:rPr>
            </w:pPr>
            <w:r w:rsidRPr="00C511DC">
              <w:rPr>
                <w:sz w:val="20"/>
                <w:szCs w:val="20"/>
              </w:rPr>
              <w:t>− Auditive Alarmsignale mit anderen Kanälen koppeln (zusätzlich blinkende Hinweise)</w:t>
            </w:r>
          </w:p>
          <w:p w14:paraId="6215F7A6" w14:textId="77777777" w:rsidR="009033FF" w:rsidRPr="00C511DC" w:rsidRDefault="009033FF" w:rsidP="00E1188D">
            <w:pPr>
              <w:spacing w:after="160" w:line="259" w:lineRule="auto"/>
              <w:rPr>
                <w:sz w:val="20"/>
                <w:szCs w:val="20"/>
              </w:rPr>
            </w:pPr>
            <w:r w:rsidRPr="00C511DC">
              <w:rPr>
                <w:sz w:val="20"/>
                <w:szCs w:val="20"/>
              </w:rPr>
              <w:t>− Erhöhung der Signal-Geräusch-Relation</w:t>
            </w:r>
          </w:p>
        </w:tc>
        <w:tc>
          <w:tcPr>
            <w:tcW w:w="2963" w:type="dxa"/>
          </w:tcPr>
          <w:p w14:paraId="7FCA876C" w14:textId="77777777" w:rsidR="009033FF" w:rsidRPr="00C511DC" w:rsidRDefault="009033FF" w:rsidP="00E1188D">
            <w:pPr>
              <w:spacing w:after="160" w:line="259" w:lineRule="auto"/>
              <w:rPr>
                <w:sz w:val="20"/>
                <w:szCs w:val="20"/>
              </w:rPr>
            </w:pPr>
            <w:r w:rsidRPr="00C511DC">
              <w:rPr>
                <w:sz w:val="20"/>
                <w:szCs w:val="20"/>
              </w:rPr>
              <w:t>− Abnehmende Sensitivität und Frequenzunterscheidung</w:t>
            </w:r>
          </w:p>
        </w:tc>
      </w:tr>
      <w:tr w:rsidR="009033FF" w:rsidRPr="00C511DC" w14:paraId="5935F561" w14:textId="77777777" w:rsidTr="00E1188D">
        <w:tc>
          <w:tcPr>
            <w:tcW w:w="2587" w:type="dxa"/>
          </w:tcPr>
          <w:p w14:paraId="5EFEC565" w14:textId="77777777" w:rsidR="009033FF" w:rsidRPr="00C511DC" w:rsidRDefault="009033FF" w:rsidP="00E1188D">
            <w:pPr>
              <w:spacing w:after="160" w:line="259" w:lineRule="auto"/>
              <w:rPr>
                <w:b/>
                <w:sz w:val="20"/>
                <w:szCs w:val="20"/>
              </w:rPr>
            </w:pPr>
            <w:r w:rsidRPr="00C511DC">
              <w:rPr>
                <w:b/>
                <w:sz w:val="20"/>
                <w:szCs w:val="20"/>
              </w:rPr>
              <w:t>Arbeitsorganisatorische Maßnahmen</w:t>
            </w:r>
          </w:p>
        </w:tc>
        <w:tc>
          <w:tcPr>
            <w:tcW w:w="3562" w:type="dxa"/>
          </w:tcPr>
          <w:p w14:paraId="6EE79E89" w14:textId="77777777" w:rsidR="009033FF" w:rsidRPr="00C511DC" w:rsidRDefault="009033FF" w:rsidP="00E1188D">
            <w:pPr>
              <w:spacing w:after="160" w:line="259" w:lineRule="auto"/>
              <w:rPr>
                <w:sz w:val="20"/>
                <w:szCs w:val="20"/>
              </w:rPr>
            </w:pPr>
            <w:r w:rsidRPr="00C511DC">
              <w:rPr>
                <w:sz w:val="20"/>
                <w:szCs w:val="20"/>
              </w:rPr>
              <w:t>− Lärmquellen möglichst vom Arbeitsplatz trennen</w:t>
            </w:r>
          </w:p>
          <w:p w14:paraId="46B9EEB9" w14:textId="77777777" w:rsidR="009033FF" w:rsidRPr="00C511DC" w:rsidRDefault="009033FF" w:rsidP="00E1188D">
            <w:pPr>
              <w:spacing w:after="160" w:line="259" w:lineRule="auto"/>
              <w:rPr>
                <w:sz w:val="20"/>
                <w:szCs w:val="20"/>
              </w:rPr>
            </w:pPr>
            <w:r w:rsidRPr="00C511DC">
              <w:rPr>
                <w:sz w:val="20"/>
                <w:szCs w:val="20"/>
              </w:rPr>
              <w:t>− Zeitlicher Versatz lauter Arbeiten</w:t>
            </w:r>
          </w:p>
          <w:p w14:paraId="6607F9E9" w14:textId="77777777" w:rsidR="009033FF" w:rsidRPr="00C511DC" w:rsidRDefault="009033FF" w:rsidP="00E1188D">
            <w:pPr>
              <w:spacing w:after="160" w:line="259" w:lineRule="auto"/>
              <w:rPr>
                <w:sz w:val="20"/>
                <w:szCs w:val="20"/>
              </w:rPr>
            </w:pPr>
            <w:r w:rsidRPr="00C511DC">
              <w:rPr>
                <w:sz w:val="20"/>
                <w:szCs w:val="20"/>
              </w:rPr>
              <w:t>− Rückzugsmöglichkeiten für konzentriertes Arbeiten schaffen, z. B. für Beschäftigte in Großraumbüros (frühzeitige Planung entsprechender Raumkonzepte</w:t>
            </w:r>
          </w:p>
        </w:tc>
        <w:tc>
          <w:tcPr>
            <w:tcW w:w="2963" w:type="dxa"/>
          </w:tcPr>
          <w:p w14:paraId="5B0B3D27" w14:textId="77777777" w:rsidR="009033FF" w:rsidRPr="00C511DC" w:rsidRDefault="009033FF" w:rsidP="00E1188D">
            <w:pPr>
              <w:spacing w:after="160" w:line="259" w:lineRule="auto"/>
              <w:rPr>
                <w:sz w:val="20"/>
                <w:szCs w:val="20"/>
              </w:rPr>
            </w:pPr>
          </w:p>
        </w:tc>
      </w:tr>
      <w:tr w:rsidR="009033FF" w:rsidRPr="00C511DC" w14:paraId="4ED20B37" w14:textId="77777777" w:rsidTr="00E1188D">
        <w:tc>
          <w:tcPr>
            <w:tcW w:w="2587" w:type="dxa"/>
          </w:tcPr>
          <w:p w14:paraId="06137FE1" w14:textId="77777777" w:rsidR="009033FF" w:rsidRPr="00C511DC" w:rsidRDefault="009033FF" w:rsidP="00E1188D">
            <w:pPr>
              <w:spacing w:after="160" w:line="259" w:lineRule="auto"/>
              <w:rPr>
                <w:b/>
                <w:sz w:val="20"/>
                <w:szCs w:val="20"/>
              </w:rPr>
            </w:pPr>
            <w:r w:rsidRPr="00C511DC">
              <w:rPr>
                <w:b/>
                <w:sz w:val="20"/>
                <w:szCs w:val="20"/>
              </w:rPr>
              <w:t>Individuelle Hörhilfen</w:t>
            </w:r>
          </w:p>
        </w:tc>
        <w:tc>
          <w:tcPr>
            <w:tcW w:w="3562" w:type="dxa"/>
          </w:tcPr>
          <w:p w14:paraId="351D94F5" w14:textId="77777777" w:rsidR="009033FF" w:rsidRPr="00C511DC" w:rsidRDefault="009033FF" w:rsidP="00E1188D">
            <w:pPr>
              <w:spacing w:after="160" w:line="259" w:lineRule="auto"/>
              <w:rPr>
                <w:sz w:val="20"/>
                <w:szCs w:val="20"/>
              </w:rPr>
            </w:pPr>
            <w:r w:rsidRPr="00C511DC">
              <w:rPr>
                <w:sz w:val="20"/>
                <w:szCs w:val="20"/>
              </w:rPr>
              <w:t>− Hörgeräte verstärken Geräusche und verbessern die auditive Wahrnehmung</w:t>
            </w:r>
          </w:p>
        </w:tc>
        <w:tc>
          <w:tcPr>
            <w:tcW w:w="2963" w:type="dxa"/>
          </w:tcPr>
          <w:p w14:paraId="4AE85A03" w14:textId="77777777" w:rsidR="009033FF" w:rsidRPr="00C511DC" w:rsidRDefault="009033FF" w:rsidP="00E1188D">
            <w:pPr>
              <w:spacing w:after="160" w:line="259" w:lineRule="auto"/>
              <w:rPr>
                <w:sz w:val="20"/>
                <w:szCs w:val="20"/>
              </w:rPr>
            </w:pPr>
            <w:r w:rsidRPr="00C511DC">
              <w:rPr>
                <w:sz w:val="20"/>
                <w:szCs w:val="20"/>
              </w:rPr>
              <w:t>− Abnahme der Sensitivität und Frequenzunterscheidung</w:t>
            </w:r>
          </w:p>
        </w:tc>
      </w:tr>
    </w:tbl>
    <w:p w14:paraId="6B052CEC" w14:textId="77777777" w:rsidR="00E239BD" w:rsidRDefault="00E239B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09941CF"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527E8794"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B24096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08905E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3B3B70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08127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5DC61E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2A5BCE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B4BE04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8E7C3D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518E0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9C1E0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DD55A0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7CEB0705" w14:textId="77777777" w:rsidR="00E158B4" w:rsidRDefault="00E158B4" w:rsidP="00E158B4">
      <w:pPr>
        <w:shd w:val="clear" w:color="auto" w:fill="FFFFFF"/>
        <w:rPr>
          <w:rFonts w:ascii="Arial" w:eastAsia="Times New Roman" w:hAnsi="Arial" w:cs="Arial"/>
          <w:b/>
          <w:bCs/>
          <w:color w:val="313131"/>
          <w:lang w:eastAsia="de-DE"/>
        </w:rPr>
      </w:pPr>
    </w:p>
    <w:p w14:paraId="5F79343D"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7D5F7E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69345E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AEDC6F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EF620E2"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3585851" w14:textId="77777777" w:rsidR="00E158B4" w:rsidRDefault="00E158B4" w:rsidP="00E158B4">
      <w:pPr>
        <w:shd w:val="clear" w:color="auto" w:fill="FFFFFF"/>
        <w:rPr>
          <w:rFonts w:ascii="Arial" w:eastAsia="Times New Roman" w:hAnsi="Arial" w:cs="Arial"/>
          <w:color w:val="313131"/>
          <w:lang w:eastAsia="de-DE"/>
        </w:rPr>
      </w:pPr>
    </w:p>
    <w:p w14:paraId="0F40E994" w14:textId="77777777" w:rsidR="00E158B4" w:rsidRPr="00623F23" w:rsidRDefault="00E158B4" w:rsidP="00E158B4">
      <w:pPr>
        <w:shd w:val="clear" w:color="auto" w:fill="FFFFFF"/>
        <w:rPr>
          <w:rFonts w:ascii="Arial" w:eastAsia="Times New Roman" w:hAnsi="Arial" w:cs="Arial"/>
          <w:color w:val="313131"/>
          <w:lang w:eastAsia="de-DE"/>
        </w:rPr>
      </w:pPr>
    </w:p>
    <w:p w14:paraId="484D978D"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239BD">
        <w:rPr>
          <w:rFonts w:ascii="Arial" w:eastAsia="Times New Roman" w:hAnsi="Arial" w:cs="Arial"/>
          <w:color w:val="868686"/>
          <w:sz w:val="13"/>
          <w:szCs w:val="13"/>
          <w:lang w:eastAsia="de-DE"/>
        </w:rPr>
        <w:t>20</w:t>
      </w:r>
      <w:r w:rsidR="00D51C88">
        <w:rPr>
          <w:rFonts w:ascii="Arial" w:eastAsia="Times New Roman" w:hAnsi="Arial" w:cs="Arial"/>
          <w:color w:val="868686"/>
          <w:sz w:val="13"/>
          <w:szCs w:val="13"/>
          <w:lang w:eastAsia="de-DE"/>
        </w:rPr>
        <w:t>/21</w:t>
      </w:r>
    </w:p>
    <w:p w14:paraId="63BBCC52"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69A464C"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DDFF" w14:textId="77777777" w:rsidR="00181E65" w:rsidRDefault="00181E65" w:rsidP="00E158B4">
      <w:r>
        <w:separator/>
      </w:r>
    </w:p>
  </w:endnote>
  <w:endnote w:type="continuationSeparator" w:id="0">
    <w:p w14:paraId="7443D69F" w14:textId="77777777" w:rsidR="00181E65" w:rsidRDefault="00181E6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E91"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3F2BA08"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1D79814"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29A5" w14:textId="77777777" w:rsidR="00181E65" w:rsidRDefault="00181E65" w:rsidP="00E158B4">
      <w:r>
        <w:separator/>
      </w:r>
    </w:p>
  </w:footnote>
  <w:footnote w:type="continuationSeparator" w:id="0">
    <w:p w14:paraId="6C27070E" w14:textId="77777777" w:rsidR="00181E65" w:rsidRDefault="00181E6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B24CC"/>
    <w:rsid w:val="000F787F"/>
    <w:rsid w:val="00101934"/>
    <w:rsid w:val="00131B03"/>
    <w:rsid w:val="00181E65"/>
    <w:rsid w:val="00183B4E"/>
    <w:rsid w:val="001F12A3"/>
    <w:rsid w:val="0022564B"/>
    <w:rsid w:val="002658F3"/>
    <w:rsid w:val="0029392A"/>
    <w:rsid w:val="00297244"/>
    <w:rsid w:val="002F4981"/>
    <w:rsid w:val="00342C1A"/>
    <w:rsid w:val="003668C1"/>
    <w:rsid w:val="00367481"/>
    <w:rsid w:val="003B57EC"/>
    <w:rsid w:val="003E1165"/>
    <w:rsid w:val="003F1F83"/>
    <w:rsid w:val="004426F8"/>
    <w:rsid w:val="004B37D9"/>
    <w:rsid w:val="004B52EB"/>
    <w:rsid w:val="005A23A6"/>
    <w:rsid w:val="005C1842"/>
    <w:rsid w:val="005C42D1"/>
    <w:rsid w:val="005C4C50"/>
    <w:rsid w:val="005E05B4"/>
    <w:rsid w:val="00620B3E"/>
    <w:rsid w:val="006844EB"/>
    <w:rsid w:val="006A1283"/>
    <w:rsid w:val="006D77AC"/>
    <w:rsid w:val="006F7FBC"/>
    <w:rsid w:val="007225E0"/>
    <w:rsid w:val="00727E78"/>
    <w:rsid w:val="00756F71"/>
    <w:rsid w:val="00770B26"/>
    <w:rsid w:val="007A0BE3"/>
    <w:rsid w:val="007A3679"/>
    <w:rsid w:val="007C7C53"/>
    <w:rsid w:val="007E58DE"/>
    <w:rsid w:val="008033F4"/>
    <w:rsid w:val="00834449"/>
    <w:rsid w:val="00862CAE"/>
    <w:rsid w:val="008F463C"/>
    <w:rsid w:val="009033FF"/>
    <w:rsid w:val="009320F4"/>
    <w:rsid w:val="009463E1"/>
    <w:rsid w:val="0095140E"/>
    <w:rsid w:val="009723F3"/>
    <w:rsid w:val="009D4209"/>
    <w:rsid w:val="00A3504B"/>
    <w:rsid w:val="00A46089"/>
    <w:rsid w:val="00A47FDA"/>
    <w:rsid w:val="00A545EE"/>
    <w:rsid w:val="00AA600F"/>
    <w:rsid w:val="00AB7CE7"/>
    <w:rsid w:val="00AC3D9A"/>
    <w:rsid w:val="00AD3F32"/>
    <w:rsid w:val="00B3508B"/>
    <w:rsid w:val="00B906E8"/>
    <w:rsid w:val="00B90D4E"/>
    <w:rsid w:val="00BA595D"/>
    <w:rsid w:val="00C077F3"/>
    <w:rsid w:val="00C83245"/>
    <w:rsid w:val="00C91F8B"/>
    <w:rsid w:val="00CA1160"/>
    <w:rsid w:val="00D31087"/>
    <w:rsid w:val="00D51C88"/>
    <w:rsid w:val="00D648DC"/>
    <w:rsid w:val="00DE54F5"/>
    <w:rsid w:val="00E07C66"/>
    <w:rsid w:val="00E158B4"/>
    <w:rsid w:val="00E239BD"/>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1DD"/>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239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832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90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6FCA-CE2B-4F4D-A7C9-C306DE92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2021-08-27T06:35:00Z</dcterms:created>
  <dcterms:modified xsi:type="dcterms:W3CDTF">2021-08-27T06:35:00Z</dcterms:modified>
</cp:coreProperties>
</file>