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F0BE" w14:textId="3C8F9BE5" w:rsidR="00740D4D" w:rsidRDefault="00C11BF8" w:rsidP="00740D4D">
      <w:pPr>
        <w:spacing w:after="160" w:line="312" w:lineRule="auto"/>
        <w:rPr>
          <w:b/>
          <w:bCs/>
          <w:sz w:val="32"/>
          <w:szCs w:val="32"/>
        </w:rPr>
      </w:pPr>
      <w:r w:rsidRPr="00C11BF8">
        <w:rPr>
          <w:b/>
          <w:bCs/>
          <w:sz w:val="32"/>
          <w:szCs w:val="32"/>
        </w:rPr>
        <w:t>Blitzübersicht: Umkippen beim Entladen verhindern</w:t>
      </w:r>
    </w:p>
    <w:tbl>
      <w:tblPr>
        <w:tblStyle w:val="Tabellenraster22"/>
        <w:tblW w:w="9521" w:type="dxa"/>
        <w:tblLayout w:type="fixed"/>
        <w:tblLook w:val="04A0" w:firstRow="1" w:lastRow="0" w:firstColumn="1" w:lastColumn="0" w:noHBand="0" w:noVBand="1"/>
      </w:tblPr>
      <w:tblGrid>
        <w:gridCol w:w="2547"/>
        <w:gridCol w:w="5840"/>
        <w:gridCol w:w="1134"/>
      </w:tblGrid>
      <w:tr w:rsidR="00C11BF8" w14:paraId="08338E9C" w14:textId="77777777" w:rsidTr="00C11BF8">
        <w:tc>
          <w:tcPr>
            <w:tcW w:w="2547" w:type="dxa"/>
            <w:shd w:val="clear" w:color="auto" w:fill="D9E2F3" w:themeFill="accent5" w:themeFillTint="33"/>
          </w:tcPr>
          <w:p w14:paraId="1C037CAB" w14:textId="77777777" w:rsidR="00C11BF8" w:rsidRPr="00AC0606" w:rsidRDefault="00C11BF8" w:rsidP="0036164D">
            <w:pPr>
              <w:rPr>
                <w:b/>
              </w:rPr>
            </w:pPr>
            <w:r w:rsidRPr="00AC0606">
              <w:rPr>
                <w:b/>
              </w:rPr>
              <w:t>Was</w:t>
            </w:r>
            <w:r>
              <w:rPr>
                <w:b/>
              </w:rPr>
              <w:t>?</w:t>
            </w:r>
          </w:p>
        </w:tc>
        <w:tc>
          <w:tcPr>
            <w:tcW w:w="5840" w:type="dxa"/>
            <w:shd w:val="clear" w:color="auto" w:fill="D9E2F3" w:themeFill="accent5" w:themeFillTint="33"/>
          </w:tcPr>
          <w:p w14:paraId="4CD2746D" w14:textId="77777777" w:rsidR="00C11BF8" w:rsidRPr="00AC0606" w:rsidRDefault="00C11BF8" w:rsidP="0036164D">
            <w:pPr>
              <w:rPr>
                <w:b/>
              </w:rPr>
            </w:pPr>
            <w:r w:rsidRPr="00AC0606">
              <w:rPr>
                <w:b/>
              </w:rPr>
              <w:t>Unterweisungsgegenstand</w:t>
            </w:r>
          </w:p>
        </w:tc>
        <w:tc>
          <w:tcPr>
            <w:tcW w:w="1134" w:type="dxa"/>
            <w:shd w:val="clear" w:color="auto" w:fill="D9E2F3" w:themeFill="accent5" w:themeFillTint="33"/>
          </w:tcPr>
          <w:p w14:paraId="40C95E4D" w14:textId="77777777" w:rsidR="00C11BF8" w:rsidRPr="0005282E" w:rsidRDefault="00C11BF8" w:rsidP="0036164D">
            <w:pPr>
              <w:rPr>
                <w:b/>
                <w:sz w:val="20"/>
                <w:szCs w:val="20"/>
              </w:rPr>
            </w:pPr>
            <w:r w:rsidRPr="0005282E">
              <w:rPr>
                <w:b/>
                <w:sz w:val="20"/>
                <w:szCs w:val="20"/>
              </w:rPr>
              <w:t>In Unter-weisung berück-</w:t>
            </w:r>
            <w:proofErr w:type="spellStart"/>
            <w:r w:rsidRPr="0005282E">
              <w:rPr>
                <w:b/>
                <w:sz w:val="20"/>
                <w:szCs w:val="20"/>
              </w:rPr>
              <w:t>sichtigt</w:t>
            </w:r>
            <w:proofErr w:type="spellEnd"/>
            <w:r w:rsidRPr="0005282E">
              <w:rPr>
                <w:b/>
                <w:sz w:val="20"/>
                <w:szCs w:val="20"/>
              </w:rPr>
              <w:t>?</w:t>
            </w:r>
          </w:p>
        </w:tc>
      </w:tr>
      <w:tr w:rsidR="00C11BF8" w14:paraId="57E35070" w14:textId="77777777" w:rsidTr="00C11BF8">
        <w:tc>
          <w:tcPr>
            <w:tcW w:w="2547" w:type="dxa"/>
          </w:tcPr>
          <w:p w14:paraId="3CF2B9F5" w14:textId="77777777" w:rsidR="00C11BF8" w:rsidRPr="0005282E" w:rsidRDefault="00C11BF8" w:rsidP="0036164D">
            <w:pPr>
              <w:rPr>
                <w:b/>
                <w:bCs/>
              </w:rPr>
            </w:pPr>
            <w:r w:rsidRPr="0005282E">
              <w:rPr>
                <w:b/>
                <w:bCs/>
              </w:rPr>
              <w:t>Bodentragfähigkeit</w:t>
            </w:r>
          </w:p>
        </w:tc>
        <w:tc>
          <w:tcPr>
            <w:tcW w:w="5840" w:type="dxa"/>
          </w:tcPr>
          <w:p w14:paraId="46D4CA30" w14:textId="77777777" w:rsidR="00C11BF8" w:rsidRDefault="00C11BF8" w:rsidP="0036164D">
            <w:r w:rsidRPr="00AC0606">
              <w:t>Nicht bei unzureichender Bodentragfähigkeit kippen – insbesondere, wenn der Untergrund</w:t>
            </w:r>
            <w:r>
              <w:t xml:space="preserve"> </w:t>
            </w:r>
            <w:r w:rsidRPr="00AC0606">
              <w:t>einseitig nachgeben kann</w:t>
            </w:r>
            <w:r>
              <w:t xml:space="preserve">. </w:t>
            </w:r>
          </w:p>
          <w:p w14:paraId="6C5D79A3" w14:textId="77777777" w:rsidR="00C11BF8" w:rsidRDefault="00C11BF8" w:rsidP="0036164D"/>
          <w:p w14:paraId="59105920" w14:textId="77777777" w:rsidR="00C11BF8" w:rsidRDefault="00C11BF8" w:rsidP="0036164D">
            <w:r w:rsidRPr="0005282E">
              <w:rPr>
                <w:b/>
                <w:bCs/>
              </w:rPr>
              <w:t>Achtung</w:t>
            </w:r>
            <w:r>
              <w:rPr>
                <w:b/>
                <w:bCs/>
              </w:rPr>
              <w:t>!</w:t>
            </w:r>
            <w:r>
              <w:t xml:space="preserve"> </w:t>
            </w:r>
          </w:p>
          <w:p w14:paraId="633804A7" w14:textId="77777777" w:rsidR="00C11BF8" w:rsidRDefault="00C11BF8" w:rsidP="0036164D">
            <w:r>
              <w:t xml:space="preserve">Die Behauptung: </w:t>
            </w:r>
            <w:r w:rsidRPr="00AC0606">
              <w:t>„Da haben schon alle anderen vorher</w:t>
            </w:r>
            <w:r>
              <w:t xml:space="preserve"> gekippt“, ist keine Ausrede, sondern eine Dummheit!</w:t>
            </w:r>
          </w:p>
        </w:tc>
        <w:tc>
          <w:tcPr>
            <w:tcW w:w="1134" w:type="dxa"/>
          </w:tcPr>
          <w:p w14:paraId="77176750" w14:textId="77777777" w:rsidR="00C11BF8" w:rsidRDefault="00C11BF8" w:rsidP="0036164D"/>
        </w:tc>
      </w:tr>
      <w:tr w:rsidR="00C11BF8" w14:paraId="75472713" w14:textId="77777777" w:rsidTr="00C11BF8">
        <w:tc>
          <w:tcPr>
            <w:tcW w:w="2547" w:type="dxa"/>
          </w:tcPr>
          <w:p w14:paraId="4691B393" w14:textId="77777777" w:rsidR="00C11BF8" w:rsidRPr="0005282E" w:rsidRDefault="00C11BF8" w:rsidP="0036164D">
            <w:pPr>
              <w:rPr>
                <w:b/>
                <w:bCs/>
              </w:rPr>
            </w:pPr>
            <w:r w:rsidRPr="0005282E">
              <w:rPr>
                <w:b/>
                <w:bCs/>
              </w:rPr>
              <w:t>Einseitige Beladung verhindern</w:t>
            </w:r>
          </w:p>
        </w:tc>
        <w:tc>
          <w:tcPr>
            <w:tcW w:w="5840" w:type="dxa"/>
          </w:tcPr>
          <w:p w14:paraId="2C9A2E57" w14:textId="26BB70B4" w:rsidR="00C11BF8" w:rsidRDefault="00C11BF8" w:rsidP="00C11BF8">
            <w:r w:rsidRPr="00AC0606">
              <w:rPr>
                <w:bCs/>
              </w:rPr>
              <w:t>Es ist wichtig, auf eine gl</w:t>
            </w:r>
            <w:r w:rsidRPr="00AC0606">
              <w:t>eichmäßige Beladung links/rechts und vorne/hinten zu achten</w:t>
            </w:r>
            <w:r>
              <w:t xml:space="preserve">. </w:t>
            </w:r>
            <w:r w:rsidRPr="00AC0606">
              <w:t>Sonst hat das später beim Abkippen den gleichen Effekt wie mangelhafter Reifendruck</w:t>
            </w:r>
            <w:r>
              <w:t>.</w:t>
            </w:r>
          </w:p>
        </w:tc>
        <w:tc>
          <w:tcPr>
            <w:tcW w:w="1134" w:type="dxa"/>
          </w:tcPr>
          <w:p w14:paraId="31F09314" w14:textId="77777777" w:rsidR="00C11BF8" w:rsidRDefault="00C11BF8" w:rsidP="0036164D"/>
        </w:tc>
      </w:tr>
      <w:tr w:rsidR="00C11BF8" w14:paraId="7561242C" w14:textId="77777777" w:rsidTr="00C11BF8">
        <w:tc>
          <w:tcPr>
            <w:tcW w:w="2547" w:type="dxa"/>
          </w:tcPr>
          <w:p w14:paraId="45B308AD" w14:textId="77777777" w:rsidR="00C11BF8" w:rsidRPr="0005282E" w:rsidRDefault="00C11BF8" w:rsidP="0036164D">
            <w:pPr>
              <w:rPr>
                <w:b/>
                <w:bCs/>
              </w:rPr>
            </w:pPr>
            <w:r w:rsidRPr="0005282E">
              <w:rPr>
                <w:b/>
                <w:bCs/>
              </w:rPr>
              <w:t>Höchstlast</w:t>
            </w:r>
          </w:p>
        </w:tc>
        <w:tc>
          <w:tcPr>
            <w:tcW w:w="5840" w:type="dxa"/>
          </w:tcPr>
          <w:p w14:paraId="0060A999" w14:textId="77777777" w:rsidR="00C11BF8" w:rsidRDefault="00C11BF8" w:rsidP="0036164D">
            <w:r w:rsidRPr="00AC0606">
              <w:t>Jedes Fahrzeug hat eine technisch begrenzte, maximale Gesamtmasse, die oft höher liegt als</w:t>
            </w:r>
            <w:r>
              <w:t xml:space="preserve"> </w:t>
            </w:r>
            <w:r w:rsidRPr="00AC0606">
              <w:t>die zulässige Gesamtmasse (</w:t>
            </w:r>
            <w:proofErr w:type="spellStart"/>
            <w:r w:rsidRPr="00AC0606">
              <w:t>zGM</w:t>
            </w:r>
            <w:proofErr w:type="spellEnd"/>
            <w:r w:rsidRPr="00AC0606">
              <w:t xml:space="preserve">) nach dem Straßenverkehrsrecht. </w:t>
            </w:r>
          </w:p>
          <w:p w14:paraId="1756F068" w14:textId="77777777" w:rsidR="00C11BF8" w:rsidRDefault="00C11BF8" w:rsidP="0036164D"/>
          <w:p w14:paraId="7D51847F" w14:textId="77777777" w:rsidR="00C11BF8" w:rsidRDefault="00C11BF8" w:rsidP="0036164D">
            <w:r w:rsidRPr="0005282E">
              <w:rPr>
                <w:b/>
                <w:bCs/>
              </w:rPr>
              <w:t>Beispiel</w:t>
            </w:r>
            <w:r>
              <w:t>:</w:t>
            </w:r>
          </w:p>
          <w:p w14:paraId="42F9B697" w14:textId="137C6856" w:rsidR="00C11BF8" w:rsidRDefault="00C11BF8" w:rsidP="00C11BF8">
            <w:r w:rsidRPr="00AC0606">
              <w:t>40 t zulässige Gesamtmasse auf der Straße heißt nicht automatisch 50 t „abseits der Straße“ (z. B. im Steinbruch oder auf größeren Baustellen).</w:t>
            </w:r>
          </w:p>
        </w:tc>
        <w:tc>
          <w:tcPr>
            <w:tcW w:w="1134" w:type="dxa"/>
          </w:tcPr>
          <w:p w14:paraId="00DE90AE" w14:textId="77777777" w:rsidR="00C11BF8" w:rsidRDefault="00C11BF8" w:rsidP="0036164D"/>
        </w:tc>
      </w:tr>
      <w:tr w:rsidR="00C11BF8" w14:paraId="0A3BB483" w14:textId="77777777" w:rsidTr="00C11BF8">
        <w:tc>
          <w:tcPr>
            <w:tcW w:w="2547" w:type="dxa"/>
          </w:tcPr>
          <w:p w14:paraId="2AB59855" w14:textId="77777777" w:rsidR="00C11BF8" w:rsidRPr="0005282E" w:rsidRDefault="00C11BF8" w:rsidP="0036164D">
            <w:pPr>
              <w:rPr>
                <w:b/>
                <w:bCs/>
              </w:rPr>
            </w:pPr>
            <w:r w:rsidRPr="0005282E">
              <w:rPr>
                <w:b/>
                <w:bCs/>
              </w:rPr>
              <w:t>Reifendruck</w:t>
            </w:r>
          </w:p>
        </w:tc>
        <w:tc>
          <w:tcPr>
            <w:tcW w:w="5840" w:type="dxa"/>
          </w:tcPr>
          <w:p w14:paraId="13A1CCEC" w14:textId="77777777" w:rsidR="00C11BF8" w:rsidRDefault="00C11BF8" w:rsidP="0036164D">
            <w:r w:rsidRPr="00AC0606">
              <w:t xml:space="preserve">Auf korrekten, seitengleichen (links/rechts) Reifendruck achten! Vier bis fünf Bar weniger Druck auf einer Seite bedeuten ca. 30 mm „Einfederung“, das sind fast 1° Seitenneigung. Und das steigert beim Abkippen die mögliche Umsturzgefahr. </w:t>
            </w:r>
          </w:p>
          <w:p w14:paraId="413F3D9F" w14:textId="77777777" w:rsidR="00C11BF8" w:rsidRDefault="00C11BF8" w:rsidP="0036164D"/>
          <w:p w14:paraId="322BC5F8" w14:textId="77777777" w:rsidR="00C11BF8" w:rsidRDefault="00C11BF8" w:rsidP="0036164D">
            <w:pPr>
              <w:rPr>
                <w:b/>
                <w:bCs/>
              </w:rPr>
            </w:pPr>
            <w:r w:rsidRPr="0005282E">
              <w:rPr>
                <w:b/>
                <w:bCs/>
              </w:rPr>
              <w:t>Wichtig</w:t>
            </w:r>
          </w:p>
          <w:p w14:paraId="1585EA10" w14:textId="6C65ABCA" w:rsidR="00C11BF8" w:rsidRDefault="00C11BF8" w:rsidP="00C11BF8">
            <w:r w:rsidRPr="00AC0606">
              <w:t>Reifen mit gravierendem Minderdruck nicht einfach nachfüllen, sie könnten platzen. Hier muss die Fachwerkstatt ran, um die Ursache festzustellen.</w:t>
            </w:r>
          </w:p>
        </w:tc>
        <w:tc>
          <w:tcPr>
            <w:tcW w:w="1134" w:type="dxa"/>
          </w:tcPr>
          <w:p w14:paraId="4D712F98" w14:textId="77777777" w:rsidR="00C11BF8" w:rsidRDefault="00C11BF8" w:rsidP="0036164D"/>
        </w:tc>
      </w:tr>
      <w:tr w:rsidR="00C11BF8" w14:paraId="57668853" w14:textId="77777777" w:rsidTr="00C11BF8">
        <w:tc>
          <w:tcPr>
            <w:tcW w:w="2547" w:type="dxa"/>
          </w:tcPr>
          <w:p w14:paraId="2F88B459" w14:textId="77777777" w:rsidR="00C11BF8" w:rsidRPr="0005282E" w:rsidRDefault="00C11BF8" w:rsidP="0036164D">
            <w:pPr>
              <w:rPr>
                <w:b/>
                <w:bCs/>
              </w:rPr>
            </w:pPr>
            <w:r w:rsidRPr="0005282E">
              <w:rPr>
                <w:b/>
                <w:bCs/>
              </w:rPr>
              <w:t>Untergrund</w:t>
            </w:r>
          </w:p>
        </w:tc>
        <w:tc>
          <w:tcPr>
            <w:tcW w:w="5840" w:type="dxa"/>
          </w:tcPr>
          <w:p w14:paraId="2A7B7AFF" w14:textId="77777777" w:rsidR="00C11BF8" w:rsidRDefault="00C11BF8" w:rsidP="0036164D">
            <w:r w:rsidRPr="00AC0606">
              <w:t>Wenn die Seitenneigung schon mit dem bloßen Auge erkennbar ist: Nicht kippen! Auf jeden Fall eine andere Kippstelle zuweisen lassen – auch auf die Gefahr hin, dass es Ärger gibt. Der Ärger wird noch viel größer, wenn das Fahrzeug auf der Seite liegt.</w:t>
            </w:r>
          </w:p>
          <w:p w14:paraId="5E2A591C" w14:textId="77777777" w:rsidR="00C11BF8" w:rsidRDefault="00C11BF8" w:rsidP="0036164D"/>
          <w:p w14:paraId="19A96429" w14:textId="77777777" w:rsidR="00C11BF8" w:rsidRPr="0005282E" w:rsidRDefault="00C11BF8" w:rsidP="0036164D">
            <w:pPr>
              <w:rPr>
                <w:b/>
                <w:bCs/>
              </w:rPr>
            </w:pPr>
            <w:r w:rsidRPr="0005282E">
              <w:rPr>
                <w:b/>
                <w:bCs/>
              </w:rPr>
              <w:t xml:space="preserve">Abstand zu Böschungen und </w:t>
            </w:r>
            <w:proofErr w:type="gramStart"/>
            <w:r w:rsidRPr="0005282E">
              <w:rPr>
                <w:b/>
                <w:bCs/>
              </w:rPr>
              <w:t>Verbau</w:t>
            </w:r>
            <w:proofErr w:type="gramEnd"/>
            <w:r>
              <w:rPr>
                <w:b/>
                <w:bCs/>
              </w:rPr>
              <w:t>:</w:t>
            </w:r>
          </w:p>
          <w:p w14:paraId="12743C55" w14:textId="77777777" w:rsidR="00C11BF8" w:rsidRDefault="00C11BF8" w:rsidP="0036164D">
            <w:r>
              <w:t xml:space="preserve">Wichtig ist ein </w:t>
            </w:r>
            <w:r w:rsidRPr="00AC0606">
              <w:t>ausreichend</w:t>
            </w:r>
            <w:r>
              <w:t>er</w:t>
            </w:r>
            <w:r w:rsidRPr="00AC0606">
              <w:t xml:space="preserve"> Abstand </w:t>
            </w:r>
            <w:r>
              <w:t xml:space="preserve">zu Böschungen und </w:t>
            </w:r>
            <w:proofErr w:type="gramStart"/>
            <w:r>
              <w:t>Verbau</w:t>
            </w:r>
            <w:proofErr w:type="gramEnd"/>
            <w:r>
              <w:t xml:space="preserve">. </w:t>
            </w:r>
            <w:r w:rsidRPr="00AC0606">
              <w:t>Sonst be</w:t>
            </w:r>
            <w:r w:rsidRPr="00AC0606">
              <w:softHyphen/>
              <w:t>steht die Gefahr,</w:t>
            </w:r>
            <w:r>
              <w:t xml:space="preserve"> </w:t>
            </w:r>
            <w:r w:rsidRPr="00AC0606">
              <w:t xml:space="preserve">dass diese einbrechen bzw. abrutschen – und das Fahrzeug hinterher. </w:t>
            </w:r>
          </w:p>
          <w:p w14:paraId="103B4EA4" w14:textId="77777777" w:rsidR="00C11BF8" w:rsidRDefault="00C11BF8" w:rsidP="0036164D"/>
          <w:p w14:paraId="4E44A12D" w14:textId="77777777" w:rsidR="00C11BF8" w:rsidRDefault="00C11BF8" w:rsidP="0036164D">
            <w:pPr>
              <w:rPr>
                <w:b/>
                <w:bCs/>
              </w:rPr>
            </w:pPr>
            <w:r w:rsidRPr="0005282E">
              <w:rPr>
                <w:b/>
                <w:bCs/>
              </w:rPr>
              <w:t>Tipp</w:t>
            </w:r>
          </w:p>
          <w:p w14:paraId="39E80CA5" w14:textId="77777777" w:rsidR="00C11BF8" w:rsidRDefault="00C11BF8" w:rsidP="0036164D">
            <w:r w:rsidRPr="00AC0606">
              <w:lastRenderedPageBreak/>
              <w:t>Als grobe Anhaltswerte für nach StVZO zugelas</w:t>
            </w:r>
            <w:r w:rsidRPr="00AC0606">
              <w:softHyphen/>
              <w:t>sene und nicht überladene Straßenfahrzeuge dienen die nachfolgen</w:t>
            </w:r>
            <w:r w:rsidRPr="00AC0606">
              <w:softHyphen/>
              <w:t xml:space="preserve">den Angaben. </w:t>
            </w:r>
          </w:p>
          <w:p w14:paraId="1639F2DB" w14:textId="77777777" w:rsidR="00C11BF8" w:rsidRDefault="00C11BF8" w:rsidP="0036164D"/>
          <w:p w14:paraId="48267807" w14:textId="77777777" w:rsidR="00C11BF8" w:rsidRDefault="00C11BF8" w:rsidP="0036164D">
            <w:r w:rsidRPr="00AC0606">
              <w:t xml:space="preserve">Wenn Sie es genauer wissen müssen, orientieren Sie sich </w:t>
            </w:r>
            <w:r>
              <w:t xml:space="preserve">am besten </w:t>
            </w:r>
            <w:r w:rsidRPr="00AC0606">
              <w:t>an der DIN 4124 „Baugruben und Gräben“.</w:t>
            </w:r>
            <w:r>
              <w:t xml:space="preserve"> </w:t>
            </w:r>
          </w:p>
          <w:p w14:paraId="11B402D3" w14:textId="01C136F3" w:rsidR="00C11BF8" w:rsidRDefault="00C11BF8" w:rsidP="00C11BF8">
            <w:r w:rsidRPr="00AE7688">
              <w:t>Download</w:t>
            </w:r>
            <w:r>
              <w:t xml:space="preserve">: </w:t>
            </w:r>
            <w:hyperlink r:id="rId8" w:tgtFrame="_blank" w:history="1">
              <w:r w:rsidRPr="00AC0606">
                <w:rPr>
                  <w:rStyle w:val="Hyperlink"/>
                  <w:b/>
                  <w:bCs/>
                </w:rPr>
                <w:t>https://kurzelinks.de/5wun</w:t>
              </w:r>
            </w:hyperlink>
          </w:p>
        </w:tc>
        <w:tc>
          <w:tcPr>
            <w:tcW w:w="1134" w:type="dxa"/>
          </w:tcPr>
          <w:p w14:paraId="41DD071C" w14:textId="77777777" w:rsidR="00C11BF8" w:rsidRDefault="00C11BF8" w:rsidP="0036164D"/>
        </w:tc>
      </w:tr>
    </w:tbl>
    <w:p w14:paraId="44AC95DC" w14:textId="24F111F8" w:rsidR="00830FA6" w:rsidRDefault="00830FA6"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1780D65E"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9"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4ECAC4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w:t>
      </w:r>
      <w:r w:rsidR="00AF29C0">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DC83" w14:textId="77777777" w:rsidR="00FC33C3" w:rsidRDefault="00FC33C3" w:rsidP="00E158B4">
      <w:r>
        <w:separator/>
      </w:r>
    </w:p>
  </w:endnote>
  <w:endnote w:type="continuationSeparator" w:id="0">
    <w:p w14:paraId="14AE2782" w14:textId="77777777" w:rsidR="00FC33C3" w:rsidRDefault="00FC33C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utiger-Cn">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68EA" w14:textId="77777777" w:rsidR="00FC33C3" w:rsidRDefault="00FC33C3" w:rsidP="00E158B4">
      <w:r>
        <w:separator/>
      </w:r>
    </w:p>
  </w:footnote>
  <w:footnote w:type="continuationSeparator" w:id="0">
    <w:p w14:paraId="1FEC0285" w14:textId="77777777" w:rsidR="00FC33C3" w:rsidRDefault="00FC33C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1D5"/>
    <w:multiLevelType w:val="hybridMultilevel"/>
    <w:tmpl w:val="0B1476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354135"/>
    <w:multiLevelType w:val="hybridMultilevel"/>
    <w:tmpl w:val="B232C90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EB5915"/>
    <w:multiLevelType w:val="hybridMultilevel"/>
    <w:tmpl w:val="C986D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05449B"/>
    <w:multiLevelType w:val="hybridMultilevel"/>
    <w:tmpl w:val="66646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1535FF8"/>
    <w:multiLevelType w:val="hybridMultilevel"/>
    <w:tmpl w:val="6B4A60D2"/>
    <w:lvl w:ilvl="0" w:tplc="04070001">
      <w:start w:val="1"/>
      <w:numFmt w:val="bullet"/>
      <w:lvlText w:val=""/>
      <w:lvlJc w:val="left"/>
      <w:pPr>
        <w:ind w:left="720" w:hanging="360"/>
      </w:pPr>
      <w:rPr>
        <w:rFonts w:ascii="Symbol" w:hAnsi="Symbol" w:hint="default"/>
      </w:rPr>
    </w:lvl>
    <w:lvl w:ilvl="1" w:tplc="EC6C6B74">
      <w:numFmt w:val="bullet"/>
      <w:lvlText w:val="-"/>
      <w:lvlJc w:val="left"/>
      <w:pPr>
        <w:ind w:left="1440" w:hanging="360"/>
      </w:pPr>
      <w:rPr>
        <w:rFonts w:ascii="Frutiger-Cn" w:eastAsiaTheme="minorHAnsi" w:hAnsi="Frutiger-Cn" w:cs="Frutiger-C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D7C5472"/>
    <w:multiLevelType w:val="hybridMultilevel"/>
    <w:tmpl w:val="DB701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94016046">
    <w:abstractNumId w:val="12"/>
  </w:num>
  <w:num w:numId="2" w16cid:durableId="737676820">
    <w:abstractNumId w:val="10"/>
  </w:num>
  <w:num w:numId="3" w16cid:durableId="1393310156">
    <w:abstractNumId w:val="3"/>
  </w:num>
  <w:num w:numId="4" w16cid:durableId="1425999887">
    <w:abstractNumId w:val="7"/>
  </w:num>
  <w:num w:numId="5" w16cid:durableId="813255228">
    <w:abstractNumId w:val="9"/>
  </w:num>
  <w:num w:numId="6" w16cid:durableId="1624264095">
    <w:abstractNumId w:val="14"/>
  </w:num>
  <w:num w:numId="7" w16cid:durableId="1279948261">
    <w:abstractNumId w:val="4"/>
  </w:num>
  <w:num w:numId="8" w16cid:durableId="263999898">
    <w:abstractNumId w:val="11"/>
  </w:num>
  <w:num w:numId="9" w16cid:durableId="256402572">
    <w:abstractNumId w:val="1"/>
  </w:num>
  <w:num w:numId="10" w16cid:durableId="484394496">
    <w:abstractNumId w:val="6"/>
  </w:num>
  <w:num w:numId="11" w16cid:durableId="1099065031">
    <w:abstractNumId w:val="13"/>
  </w:num>
  <w:num w:numId="12" w16cid:durableId="475613131">
    <w:abstractNumId w:val="5"/>
  </w:num>
  <w:num w:numId="13" w16cid:durableId="1948461896">
    <w:abstractNumId w:val="8"/>
  </w:num>
  <w:num w:numId="14" w16cid:durableId="852575672">
    <w:abstractNumId w:val="2"/>
  </w:num>
  <w:num w:numId="15" w16cid:durableId="197782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62BA"/>
    <w:rsid w:val="00055CAC"/>
    <w:rsid w:val="000564D7"/>
    <w:rsid w:val="000A3A5C"/>
    <w:rsid w:val="000C187D"/>
    <w:rsid w:val="000F244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43996"/>
    <w:rsid w:val="003571F3"/>
    <w:rsid w:val="00363814"/>
    <w:rsid w:val="003668C1"/>
    <w:rsid w:val="00367481"/>
    <w:rsid w:val="003A3C70"/>
    <w:rsid w:val="003B57EC"/>
    <w:rsid w:val="003E1165"/>
    <w:rsid w:val="003F0557"/>
    <w:rsid w:val="0040576D"/>
    <w:rsid w:val="004079B2"/>
    <w:rsid w:val="0043398E"/>
    <w:rsid w:val="004426F8"/>
    <w:rsid w:val="00447BB6"/>
    <w:rsid w:val="004B52EB"/>
    <w:rsid w:val="004E5227"/>
    <w:rsid w:val="00596D10"/>
    <w:rsid w:val="005A23A6"/>
    <w:rsid w:val="005B3E01"/>
    <w:rsid w:val="005C1842"/>
    <w:rsid w:val="005C42D1"/>
    <w:rsid w:val="005C4C50"/>
    <w:rsid w:val="005E05B4"/>
    <w:rsid w:val="00611914"/>
    <w:rsid w:val="00620B3E"/>
    <w:rsid w:val="00663DF2"/>
    <w:rsid w:val="00675D25"/>
    <w:rsid w:val="00683DBB"/>
    <w:rsid w:val="006844EB"/>
    <w:rsid w:val="006A1283"/>
    <w:rsid w:val="006D1459"/>
    <w:rsid w:val="006D5E7C"/>
    <w:rsid w:val="006D77AC"/>
    <w:rsid w:val="006F7FBC"/>
    <w:rsid w:val="007175F5"/>
    <w:rsid w:val="007225E0"/>
    <w:rsid w:val="00727E78"/>
    <w:rsid w:val="00740D4D"/>
    <w:rsid w:val="00761D8A"/>
    <w:rsid w:val="00770B26"/>
    <w:rsid w:val="00784346"/>
    <w:rsid w:val="007A0BE3"/>
    <w:rsid w:val="007A3679"/>
    <w:rsid w:val="007C7C53"/>
    <w:rsid w:val="007E58DE"/>
    <w:rsid w:val="007F2925"/>
    <w:rsid w:val="008033F4"/>
    <w:rsid w:val="0081102F"/>
    <w:rsid w:val="00830FA6"/>
    <w:rsid w:val="00834449"/>
    <w:rsid w:val="008414AE"/>
    <w:rsid w:val="00862CAE"/>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29C0"/>
    <w:rsid w:val="00AF5ABD"/>
    <w:rsid w:val="00B3508B"/>
    <w:rsid w:val="00B906E8"/>
    <w:rsid w:val="00B90D4E"/>
    <w:rsid w:val="00BA46D8"/>
    <w:rsid w:val="00BA595D"/>
    <w:rsid w:val="00BB4E63"/>
    <w:rsid w:val="00BD7FBC"/>
    <w:rsid w:val="00BF0137"/>
    <w:rsid w:val="00C077F3"/>
    <w:rsid w:val="00C11BF8"/>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 w:val="00FC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830F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30FA6"/>
    <w:rPr>
      <w:color w:val="605E5C"/>
      <w:shd w:val="clear" w:color="auto" w:fill="E1DFDD"/>
    </w:rPr>
  </w:style>
  <w:style w:type="table" w:customStyle="1" w:styleId="Tabellenraster20">
    <w:name w:val="Tabellenraster20"/>
    <w:basedOn w:val="NormaleTabelle"/>
    <w:next w:val="Tabellenraster"/>
    <w:uiPriority w:val="39"/>
    <w:rsid w:val="00740D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C11B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zelinks.de/5wu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mailto:kundenservice@praxispurmedien.de?subject=Gratis-Test-Anford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DF09-F1D8-45B4-8425-B962C1AF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2022-06-29T13:40:00Z</dcterms:created>
  <dcterms:modified xsi:type="dcterms:W3CDTF">2022-06-29T13:40:00Z</dcterms:modified>
</cp:coreProperties>
</file>