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64E" w:rsidRDefault="00516D37" w:rsidP="00360FBD">
      <w:pPr>
        <w:spacing w:line="312" w:lineRule="auto"/>
        <w:rPr>
          <w:rFonts w:cs="Arial"/>
          <w:b/>
          <w:sz w:val="28"/>
          <w:szCs w:val="28"/>
        </w:rPr>
      </w:pPr>
      <w:r w:rsidRPr="00516D37">
        <w:rPr>
          <w:rFonts w:cs="Arial"/>
          <w:b/>
          <w:sz w:val="28"/>
          <w:szCs w:val="28"/>
        </w:rPr>
        <w:t>Prüfpunkte: Haben Sie an alle Vorbeugemaßnahmen gegen Schnittverletzungen gedacht?</w:t>
      </w:r>
    </w:p>
    <w:tbl>
      <w:tblPr>
        <w:tblStyle w:val="Tabellenraster"/>
        <w:tblW w:w="9392" w:type="dxa"/>
        <w:tblLook w:val="04A0" w:firstRow="1" w:lastRow="0" w:firstColumn="1" w:lastColumn="0" w:noHBand="0" w:noVBand="1"/>
      </w:tblPr>
      <w:tblGrid>
        <w:gridCol w:w="7366"/>
        <w:gridCol w:w="1071"/>
        <w:gridCol w:w="955"/>
      </w:tblGrid>
      <w:tr w:rsidR="00516D37" w:rsidRPr="00AD14C3" w:rsidTr="00AD14C3">
        <w:tc>
          <w:tcPr>
            <w:tcW w:w="7366" w:type="dxa"/>
            <w:shd w:val="clear" w:color="auto" w:fill="C5E0B3" w:themeFill="accent6" w:themeFillTint="66"/>
          </w:tcPr>
          <w:p w:rsidR="00516D37" w:rsidRPr="00AD14C3" w:rsidRDefault="00516D37" w:rsidP="00021C49">
            <w:pPr>
              <w:rPr>
                <w:b/>
                <w:i/>
                <w:sz w:val="20"/>
                <w:szCs w:val="20"/>
                <w:lang w:val="de-AT"/>
              </w:rPr>
            </w:pPr>
            <w:r w:rsidRPr="00AD14C3">
              <w:rPr>
                <w:b/>
                <w:i/>
                <w:sz w:val="20"/>
                <w:szCs w:val="20"/>
                <w:lang w:val="de-AT"/>
              </w:rPr>
              <w:t>Frage</w:t>
            </w:r>
          </w:p>
        </w:tc>
        <w:tc>
          <w:tcPr>
            <w:tcW w:w="1071" w:type="dxa"/>
            <w:shd w:val="clear" w:color="auto" w:fill="C5E0B3" w:themeFill="accent6" w:themeFillTint="66"/>
          </w:tcPr>
          <w:p w:rsidR="00516D37" w:rsidRPr="00AD14C3" w:rsidRDefault="00516D37" w:rsidP="00021C49">
            <w:pPr>
              <w:rPr>
                <w:b/>
                <w:i/>
                <w:sz w:val="20"/>
                <w:szCs w:val="20"/>
                <w:lang w:val="de-AT"/>
              </w:rPr>
            </w:pPr>
            <w:r w:rsidRPr="00AD14C3">
              <w:rPr>
                <w:b/>
                <w:i/>
                <w:sz w:val="20"/>
                <w:szCs w:val="20"/>
                <w:lang w:val="de-AT"/>
              </w:rPr>
              <w:t>Erledigt?</w:t>
            </w:r>
          </w:p>
        </w:tc>
        <w:tc>
          <w:tcPr>
            <w:tcW w:w="955" w:type="dxa"/>
            <w:shd w:val="clear" w:color="auto" w:fill="C5E0B3" w:themeFill="accent6" w:themeFillTint="66"/>
          </w:tcPr>
          <w:p w:rsidR="00516D37" w:rsidRPr="00AD14C3" w:rsidRDefault="00516D37" w:rsidP="00021C49">
            <w:pPr>
              <w:rPr>
                <w:b/>
                <w:i/>
                <w:sz w:val="20"/>
                <w:szCs w:val="20"/>
                <w:lang w:val="de-AT"/>
              </w:rPr>
            </w:pPr>
            <w:r w:rsidRPr="00AD14C3">
              <w:rPr>
                <w:b/>
                <w:i/>
                <w:sz w:val="20"/>
                <w:szCs w:val="20"/>
                <w:lang w:val="de-AT"/>
              </w:rPr>
              <w:t>Nach-bessern</w:t>
            </w:r>
          </w:p>
        </w:tc>
      </w:tr>
      <w:tr w:rsidR="00516D37" w:rsidTr="00AD14C3">
        <w:tc>
          <w:tcPr>
            <w:tcW w:w="7366" w:type="dxa"/>
          </w:tcPr>
          <w:p w:rsidR="00516D37" w:rsidRPr="00AD14C3" w:rsidRDefault="00516D37" w:rsidP="00021C49">
            <w:pPr>
              <w:rPr>
                <w:sz w:val="20"/>
                <w:szCs w:val="20"/>
                <w:lang w:val="de-AT"/>
              </w:rPr>
            </w:pPr>
            <w:r w:rsidRPr="00AD14C3">
              <w:rPr>
                <w:sz w:val="20"/>
                <w:szCs w:val="20"/>
                <w:lang w:val="de-AT"/>
              </w:rPr>
              <w:t>Wir haben die Beschäftigten in der sicheren Handhabung von Messern unterwiesen. Sie wissen z.B. was der Krallengriff ist und weshalb er optimal zum Schutz vor Schnittverletzungen ist.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Tr="00AD14C3">
        <w:tc>
          <w:tcPr>
            <w:tcW w:w="7366" w:type="dxa"/>
          </w:tcPr>
          <w:p w:rsidR="00516D37" w:rsidRPr="00AD14C3" w:rsidRDefault="00516D37" w:rsidP="00021C49">
            <w:pPr>
              <w:rPr>
                <w:sz w:val="20"/>
                <w:szCs w:val="20"/>
                <w:lang w:val="de-AT"/>
              </w:rPr>
            </w:pPr>
            <w:r w:rsidRPr="00AD14C3">
              <w:rPr>
                <w:sz w:val="20"/>
                <w:szCs w:val="20"/>
                <w:lang w:val="de-AT"/>
              </w:rPr>
              <w:t>Die Beschäftigen wissen, das stumpfe Messer gefährlich sind und wissen auch, dass Sie mit darauf achten, dass Messer rechtzeitig nachgeschärft werden?</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Tr="00AD14C3">
        <w:tc>
          <w:tcPr>
            <w:tcW w:w="7366" w:type="dxa"/>
          </w:tcPr>
          <w:p w:rsidR="00516D37" w:rsidRPr="00AD14C3" w:rsidRDefault="00516D37" w:rsidP="00021C49">
            <w:pPr>
              <w:rPr>
                <w:sz w:val="20"/>
                <w:szCs w:val="20"/>
                <w:lang w:val="de-AT"/>
              </w:rPr>
            </w:pPr>
            <w:r w:rsidRPr="00AD14C3">
              <w:rPr>
                <w:sz w:val="20"/>
                <w:szCs w:val="20"/>
                <w:lang w:val="de-AT"/>
              </w:rPr>
              <w:t>Wo möglich kommen bei uns Sicherheitsmesser mit verdeckter oder sich selbst zurückziehender Klinge zum Einsatz, beispielsweise Folienmesser oder Cutter.</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Tr="00AD14C3">
        <w:tc>
          <w:tcPr>
            <w:tcW w:w="7366" w:type="dxa"/>
          </w:tcPr>
          <w:p w:rsidR="00516D37" w:rsidRPr="00AD14C3" w:rsidRDefault="00516D37" w:rsidP="00021C49">
            <w:pPr>
              <w:rPr>
                <w:sz w:val="20"/>
                <w:szCs w:val="20"/>
                <w:lang w:val="de-AT"/>
              </w:rPr>
            </w:pPr>
            <w:r w:rsidRPr="00AD14C3">
              <w:rPr>
                <w:sz w:val="20"/>
                <w:szCs w:val="20"/>
                <w:lang w:val="de-AT"/>
              </w:rPr>
              <w:t>Arbeitsmittel aus Glas werden nach Möglichkeit durch solche aus anderen, bruchsicheren Werkstoffen ersetzt?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Tr="00AD14C3">
        <w:tc>
          <w:tcPr>
            <w:tcW w:w="7366" w:type="dxa"/>
          </w:tcPr>
          <w:p w:rsidR="00516D37" w:rsidRPr="00AD14C3" w:rsidRDefault="00516D37" w:rsidP="00021C49">
            <w:pPr>
              <w:rPr>
                <w:sz w:val="20"/>
                <w:szCs w:val="20"/>
                <w:lang w:val="de-AT"/>
              </w:rPr>
            </w:pPr>
            <w:r w:rsidRPr="00AD14C3">
              <w:rPr>
                <w:sz w:val="20"/>
                <w:szCs w:val="20"/>
                <w:lang w:val="de-AT"/>
              </w:rPr>
              <w:t>Vorgeschädigte Glasgeräte wie z.B. ausgebrochenen Kanten an Rändern oder Schliffen, werden konsequent aussortiert?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Tr="00AD14C3">
        <w:tc>
          <w:tcPr>
            <w:tcW w:w="7366" w:type="dxa"/>
          </w:tcPr>
          <w:p w:rsidR="00516D37" w:rsidRPr="00AD14C3" w:rsidRDefault="00516D37" w:rsidP="00021C49">
            <w:pPr>
              <w:rPr>
                <w:sz w:val="20"/>
                <w:szCs w:val="20"/>
                <w:lang w:val="de-AT"/>
              </w:rPr>
            </w:pPr>
            <w:r w:rsidRPr="00AD14C3">
              <w:rPr>
                <w:sz w:val="20"/>
                <w:szCs w:val="20"/>
                <w:lang w:val="de-AT"/>
              </w:rPr>
              <w:t>In Labor und Qualitätssicherung werden nur Objektträger mit schräg geschliffenen Kanten verwendet?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Tr="00AD14C3">
        <w:tc>
          <w:tcPr>
            <w:tcW w:w="7366" w:type="dxa"/>
          </w:tcPr>
          <w:p w:rsidR="00516D37" w:rsidRPr="00AD14C3" w:rsidRDefault="00516D37" w:rsidP="00021C49">
            <w:pPr>
              <w:rPr>
                <w:sz w:val="20"/>
                <w:szCs w:val="20"/>
                <w:lang w:val="de-AT"/>
              </w:rPr>
            </w:pPr>
            <w:r w:rsidRPr="00AD14C3">
              <w:rPr>
                <w:sz w:val="20"/>
                <w:szCs w:val="20"/>
                <w:lang w:val="de-AT"/>
              </w:rPr>
              <w:t>Die Beschäftigten wissen, dass scharfkantige Gegenstände nicht ungesichert in Schubladen liegen dürfen.</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Zerbrochene Scheiben werden zeitnah ausgetauscht? Also Fenster ebenso wie Türscheiben, Glaseinsätze von Frontschiebern von Abzügen, gläserne Regalböden etc.?</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Überall dort, wo es zu Glasbruch kommen kann, sind Gerätschaften wie Schaufel und Eimer zur Aufnahme von Scherben vorhanden oder leicht erreichbar?</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Die Mitarbeiter wissen, dass Sie nicht mit ungeschützten Händen Scherben oder Glassplitter aufnehmen sollen?</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Glasbruch wird unmittelbar nach dem Anfall sicher entsorgt, dass in geeigneten, festen Abfallbehältern?</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Für alle Tätigkeiten mit möglichem Kontakt zu scharfkantigen oder zerbrochenen Glasteilen stehen schnittfeste Schutzhandschuhe zur Verfügung?</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Beim Einkauf von Schutzhandschuhen werden deren Schnittschutzeigenschaften berücksichtigt?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Scharfkantige Metallteile wie Bleche, gestanzte oder lasergeschnittene Werkstücke werden vor der Weiterverarbeitung oder Montage nach Möglichkeit entgratet?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Die eingesetzten Papierschneidemaschinen verfügen über eine Einrichtung zum Schutz vor Schnittverletzungen?</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Pneumatische oder elektrische Scheren sind vor unbeabsichtigtem Anlaufen (also unbeabsichtigter Inbetriebnahme) geschützt. Beispielsweise durch Schraubbügel?</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 xml:space="preserve">Kraftgetriebene Messer werden nur gemäß den Angaben des Herstellers in der Bedienungsanleitung eingesetzt? Gemeint sind Enthäute-, Aufschnitt- </w:t>
            </w:r>
            <w:proofErr w:type="spellStart"/>
            <w:r w:rsidRPr="00AD14C3">
              <w:rPr>
                <w:sz w:val="20"/>
                <w:szCs w:val="20"/>
                <w:lang w:val="de-AT"/>
              </w:rPr>
              <w:t>Kebabmesser</w:t>
            </w:r>
            <w:proofErr w:type="spellEnd"/>
            <w:r w:rsidRPr="00AD14C3">
              <w:rPr>
                <w:sz w:val="20"/>
                <w:szCs w:val="20"/>
                <w:lang w:val="de-AT"/>
              </w:rPr>
              <w:t xml:space="preserve"> usw.</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Maßnahmen zur Ersten Hilfe bei Schnittverletzungen sind bekannt?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Es sind Verbandkästen vorhanden und vorschriftsmäßig gefüllt?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Im Notfall können Ersthelfer schnell zur Stelle sein, um z.B. bei stark blutenden Schnittwunden einen Druckverband anzulegen?</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Sie weisen in Ihren Unterweisungen darauf hin, dass eine gültige Tetanusimpfung unverzichtbar ist bzw. lassen mit dem Betriebsarzt klären, wie lange die letzte Impfung zurückliegt?</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r w:rsidR="00516D37" w:rsidRPr="00C63C75" w:rsidTr="00AD14C3">
        <w:tc>
          <w:tcPr>
            <w:tcW w:w="7366" w:type="dxa"/>
          </w:tcPr>
          <w:p w:rsidR="00516D37" w:rsidRPr="00AD14C3" w:rsidRDefault="00516D37" w:rsidP="00021C49">
            <w:pPr>
              <w:rPr>
                <w:sz w:val="20"/>
                <w:szCs w:val="20"/>
                <w:lang w:val="de-AT"/>
              </w:rPr>
            </w:pPr>
            <w:r w:rsidRPr="00AD14C3">
              <w:rPr>
                <w:sz w:val="20"/>
                <w:szCs w:val="20"/>
                <w:lang w:val="de-AT"/>
              </w:rPr>
              <w:t>Nach jeder Schnittverletzung ermitteln Sie die Ursachen und schlagen Schutzmaßnahmen vor bzw. prüfen die Wirksamkeit der bestehenden Maßnahmen!</w:t>
            </w:r>
          </w:p>
        </w:tc>
        <w:tc>
          <w:tcPr>
            <w:tcW w:w="1071" w:type="dxa"/>
          </w:tcPr>
          <w:p w:rsidR="00516D37" w:rsidRPr="00C63C75" w:rsidRDefault="00516D37" w:rsidP="00021C49">
            <w:pPr>
              <w:rPr>
                <w:lang w:val="de-AT"/>
              </w:rPr>
            </w:pPr>
          </w:p>
        </w:tc>
        <w:tc>
          <w:tcPr>
            <w:tcW w:w="955" w:type="dxa"/>
          </w:tcPr>
          <w:p w:rsidR="00516D37" w:rsidRPr="00C63C75" w:rsidRDefault="00516D37" w:rsidP="00021C49">
            <w:pPr>
              <w:rPr>
                <w:lang w:val="de-AT"/>
              </w:rPr>
            </w:pPr>
          </w:p>
        </w:tc>
      </w:tr>
    </w:tbl>
    <w:p w:rsidR="00623F23" w:rsidRDefault="00623F23" w:rsidP="0083700A">
      <w:pPr>
        <w:shd w:val="clear" w:color="auto" w:fill="FFFFFF"/>
        <w:spacing w:after="450"/>
        <w:rPr>
          <w:rFonts w:ascii="Arial" w:eastAsia="Times New Roman" w:hAnsi="Arial" w:cs="Arial"/>
          <w:color w:val="313131"/>
          <w:lang w:eastAsia="de-DE"/>
        </w:rPr>
      </w:pPr>
    </w:p>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0868">
        <w:rPr>
          <w:rFonts w:ascii="Arial" w:eastAsia="Times New Roman" w:hAnsi="Arial" w:cs="Arial"/>
          <w:color w:val="868686"/>
          <w:sz w:val="13"/>
          <w:szCs w:val="13"/>
          <w:lang w:eastAsia="de-DE"/>
        </w:rPr>
        <w:t>1</w:t>
      </w:r>
      <w:r w:rsidR="00AD14C3">
        <w:rPr>
          <w:rFonts w:ascii="Arial" w:eastAsia="Times New Roman" w:hAnsi="Arial" w:cs="Arial"/>
          <w:color w:val="868686"/>
          <w:sz w:val="13"/>
          <w:szCs w:val="13"/>
          <w:lang w:eastAsia="de-DE"/>
        </w:rPr>
        <w:t>1</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6E4E" w:rsidRDefault="009A6E4E" w:rsidP="00BF7674">
      <w:r>
        <w:separator/>
      </w:r>
    </w:p>
  </w:endnote>
  <w:endnote w:type="continuationSeparator" w:id="0">
    <w:p w:rsidR="009A6E4E" w:rsidRDefault="009A6E4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6E4E" w:rsidRDefault="009A6E4E" w:rsidP="00BF7674">
      <w:r>
        <w:separator/>
      </w:r>
    </w:p>
  </w:footnote>
  <w:footnote w:type="continuationSeparator" w:id="0">
    <w:p w:rsidR="009A6E4E" w:rsidRDefault="009A6E4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E3D16"/>
    <w:rsid w:val="000F3127"/>
    <w:rsid w:val="00100868"/>
    <w:rsid w:val="00103B59"/>
    <w:rsid w:val="001C2565"/>
    <w:rsid w:val="001C621B"/>
    <w:rsid w:val="001F73CB"/>
    <w:rsid w:val="00262D72"/>
    <w:rsid w:val="0027214A"/>
    <w:rsid w:val="00293F28"/>
    <w:rsid w:val="002C7374"/>
    <w:rsid w:val="002D164E"/>
    <w:rsid w:val="00360FBD"/>
    <w:rsid w:val="00364C3F"/>
    <w:rsid w:val="003751EA"/>
    <w:rsid w:val="003B1FF0"/>
    <w:rsid w:val="00516D37"/>
    <w:rsid w:val="00570CA4"/>
    <w:rsid w:val="005A476B"/>
    <w:rsid w:val="005A7E89"/>
    <w:rsid w:val="005B68DD"/>
    <w:rsid w:val="00623F23"/>
    <w:rsid w:val="00635B45"/>
    <w:rsid w:val="006B2835"/>
    <w:rsid w:val="006C2A68"/>
    <w:rsid w:val="006E2CE3"/>
    <w:rsid w:val="007044FF"/>
    <w:rsid w:val="00793559"/>
    <w:rsid w:val="007D56A9"/>
    <w:rsid w:val="007E6A90"/>
    <w:rsid w:val="0083700A"/>
    <w:rsid w:val="008E4ECA"/>
    <w:rsid w:val="009A6E4E"/>
    <w:rsid w:val="00A7295C"/>
    <w:rsid w:val="00AD14C3"/>
    <w:rsid w:val="00B27DE9"/>
    <w:rsid w:val="00B33710"/>
    <w:rsid w:val="00B56900"/>
    <w:rsid w:val="00B7718B"/>
    <w:rsid w:val="00BF10D8"/>
    <w:rsid w:val="00BF7674"/>
    <w:rsid w:val="00C73D49"/>
    <w:rsid w:val="00D4558A"/>
    <w:rsid w:val="00D45E3D"/>
    <w:rsid w:val="00D6435E"/>
    <w:rsid w:val="00D71A15"/>
    <w:rsid w:val="00E81078"/>
    <w:rsid w:val="00ED1DE3"/>
    <w:rsid w:val="00EF11FA"/>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A652-8EDD-442D-9773-0A058839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2020-05-20T09:33:00Z</dcterms:created>
  <dcterms:modified xsi:type="dcterms:W3CDTF">2020-05-20T09:33:00Z</dcterms:modified>
</cp:coreProperties>
</file>